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sectPr>
          <w:headerReference r:id="rId3" w:type="default"/>
          <w:pgSz w:w="11906" w:h="16838"/>
          <w:pgMar w:top="0" w:right="0" w:bottom="0" w:left="0" w:header="851" w:footer="992" w:gutter="0"/>
          <w:cols w:space="425" w:num="1"/>
          <w:titlePg/>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cs="楷体_GB2312" w:asciiTheme="majorHAnsi" w:eastAsiaTheme="majorHAnsi"/>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cs="楷体_GB2312" w:asciiTheme="majorHAnsi" w:eastAsiaTheme="majorHAnsi"/>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7974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36736;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Pr>
        <w:rPr>
          <w:color w:val="000000" w:themeColor="text1"/>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br w:type="page"/>
      </w:r>
    </w:p>
    <w:p>
      <w:pPr>
        <w:tabs>
          <w:tab w:val="left" w:pos="2728"/>
        </w:tabs>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ab/>
      </w:r>
    </w:p>
    <w:p>
      <w:pPr>
        <w:rPr>
          <w:rFonts w:ascii="黑体" w:hAnsi="黑体" w:eastAsia="黑体" w:cs="黑体"/>
          <w:color w:val="000000" w:themeColor="text1"/>
          <w:sz w:val="56"/>
          <w:szCs w:val="72"/>
          <w14:textFill>
            <w14:solidFill>
              <w14:schemeClr w14:val="tx1"/>
            </w14:solidFill>
          </w14:textFill>
        </w:rPr>
      </w:pPr>
    </w:p>
    <w:p>
      <w:pPr>
        <w:rPr>
          <w:rFonts w:ascii="黑体" w:hAnsi="黑体" w:eastAsia="黑体" w:cs="黑体"/>
          <w:b/>
          <w:bCs/>
          <w:color w:val="000000" w:themeColor="text1"/>
          <w:sz w:val="72"/>
          <w:szCs w:val="96"/>
          <w14:textFill>
            <w14:solidFill>
              <w14:schemeClr w14:val="tx1"/>
            </w14:solidFill>
          </w14:textFill>
        </w:rPr>
      </w:pPr>
      <w:r>
        <w:rPr>
          <w:rFonts w:hint="eastAsia" w:ascii="黑体" w:hAnsi="黑体" w:eastAsia="黑体" w:cs="黑体"/>
          <w:b/>
          <w:bCs/>
          <w:color w:val="000000" w:themeColor="text1"/>
          <w:sz w:val="72"/>
          <w:szCs w:val="96"/>
          <w14:textFill>
            <w14:solidFill>
              <w14:schemeClr w14:val="tx1"/>
            </w14:solidFill>
          </w14:textFill>
        </w:rPr>
        <w:t>2019年度部门决算公开文本</w:t>
      </w:r>
    </w:p>
    <w:p>
      <w:pPr>
        <w:spacing w:line="36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spacing w:line="480" w:lineRule="auto"/>
        <w:jc w:val="center"/>
        <w:rPr>
          <w:rFonts w:ascii="黑体" w:hAnsi="黑体" w:eastAsia="黑体" w:cs="黑体"/>
          <w:color w:val="000000" w:themeColor="text1"/>
          <w:sz w:val="56"/>
          <w:szCs w:val="72"/>
          <w14:textFill>
            <w14:solidFill>
              <w14:schemeClr w14:val="tx1"/>
            </w14:solidFill>
          </w14:textFill>
        </w:rPr>
      </w:pPr>
    </w:p>
    <w:p>
      <w:pPr>
        <w:shd w:val="clear"/>
        <w:snapToGrid w:val="0"/>
        <w:jc w:val="center"/>
        <w:rPr>
          <w:rFonts w:hint="default" w:ascii="楷体_GB2312" w:hAnsi="楷体_GB2312" w:eastAsia="楷体_GB2312" w:cs="楷体_GB2312"/>
          <w:color w:val="000000" w:themeColor="text1"/>
          <w:kern w:val="0"/>
          <w:sz w:val="44"/>
          <w:szCs w:val="44"/>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大厂回族自治县司法局</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br w:type="page"/>
      </w:r>
    </w:p>
    <w:p>
      <w:pPr>
        <w:tabs>
          <w:tab w:val="left" w:pos="2728"/>
        </w:tabs>
        <w:jc w:val="center"/>
        <w:rPr>
          <w:rFonts w:ascii="黑体" w:hAnsi="Times New Roman" w:eastAsia="黑体" w:cs="Times New Roman"/>
          <w:color w:val="000000" w:themeColor="text1"/>
          <w:sz w:val="48"/>
          <w:szCs w:val="48"/>
          <w14:textFill>
            <w14:solidFill>
              <w14:schemeClr w14:val="tx1"/>
            </w14:solidFill>
          </w14:textFill>
        </w:rPr>
      </w:pPr>
    </w:p>
    <w:p>
      <w:pPr>
        <w:tabs>
          <w:tab w:val="left" w:pos="2728"/>
        </w:tabs>
        <w:spacing w:line="584" w:lineRule="exact"/>
        <w:jc w:val="cente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目    录</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4" w:lineRule="exact"/>
        <w:ind w:firstLine="640" w:firstLineChars="200"/>
        <w:rPr>
          <w:rFonts w:ascii="Times New Roman" w:hAnsi="Times New Roman" w:eastAsia="仿宋_GB2312" w:cs="Times New Roman"/>
          <w:color w:val="000000" w:themeColor="text1"/>
          <w:sz w:val="24"/>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第一部分   部门概况</w:t>
      </w:r>
    </w:p>
    <w:p>
      <w:pPr>
        <w:widowControl/>
        <w:spacing w:after="160" w:line="584" w:lineRule="exact"/>
        <w:ind w:firstLine="1273" w:firstLineChars="398"/>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一、部门</w:t>
      </w:r>
      <w:r>
        <w:rPr>
          <w:rFonts w:hint="eastAsia" w:ascii="Times New Roman" w:hAnsi="Times New Roman" w:eastAsia="仿宋_GB2312" w:cs="Times New Roman"/>
          <w:color w:val="000000" w:themeColor="text1"/>
          <w:sz w:val="32"/>
          <w:szCs w:val="32"/>
          <w14:textFill>
            <w14:solidFill>
              <w14:schemeClr w14:val="tx1"/>
            </w14:solidFill>
          </w14:textFill>
        </w:rPr>
        <w:t>职责</w:t>
      </w:r>
    </w:p>
    <w:p>
      <w:pPr>
        <w:widowControl/>
        <w:spacing w:after="160" w:line="584" w:lineRule="exact"/>
        <w:ind w:firstLine="1273" w:firstLineChars="398"/>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w:t>
      </w:r>
      <w:r>
        <w:rPr>
          <w:rFonts w:hint="eastAsia" w:ascii="Times New Roman" w:hAnsi="Times New Roman" w:eastAsia="仿宋_GB2312" w:cs="Times New Roman"/>
          <w:color w:val="000000" w:themeColor="text1"/>
          <w:sz w:val="32"/>
          <w:szCs w:val="32"/>
          <w14:textFill>
            <w14:solidFill>
              <w14:schemeClr w14:val="tx1"/>
            </w14:solidFill>
          </w14:textFill>
        </w:rPr>
        <w:t>机构设置</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第二部分   201</w:t>
      </w:r>
      <w:r>
        <w:rPr>
          <w:rFonts w:hint="eastAsia" w:ascii="Times New Roman" w:hAnsi="Times New Roman" w:eastAsia="黑体" w:cs="Times New Roman"/>
          <w:color w:val="000000" w:themeColor="text1"/>
          <w:sz w:val="32"/>
          <w:szCs w:val="32"/>
          <w14:textFill>
            <w14:solidFill>
              <w14:schemeClr w14:val="tx1"/>
            </w14:solidFill>
          </w14:textFill>
        </w:rPr>
        <w:t>9年度</w:t>
      </w:r>
      <w:r>
        <w:rPr>
          <w:rFonts w:ascii="Times New Roman" w:hAnsi="Times New Roman" w:eastAsia="黑体" w:cs="Times New Roman"/>
          <w:color w:val="000000" w:themeColor="text1"/>
          <w:sz w:val="32"/>
          <w:szCs w:val="32"/>
          <w14:textFill>
            <w14:solidFill>
              <w14:schemeClr w14:val="tx1"/>
            </w14:solidFill>
          </w14:textFill>
        </w:rPr>
        <w:t>部门决算情况说明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一、收入支出决算总体情况说明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二、收入决算情况说明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三、支出决算情况说明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四、财政拨款收入支出决算总体情况说明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五、一般公共预算</w:t>
      </w:r>
      <w:r>
        <w:rPr>
          <w:rFonts w:ascii="Times New Roman" w:hAnsi="Times New Roman" w:eastAsia="仿宋_GB2312" w:cs="Times New Roman"/>
          <w:color w:val="000000" w:themeColor="text1"/>
          <w:sz w:val="32"/>
          <w:szCs w:val="32"/>
          <w14:textFill>
            <w14:solidFill>
              <w14:schemeClr w14:val="tx1"/>
            </w14:solidFill>
          </w14:textFill>
        </w:rPr>
        <w:t>“三公”经费支出决算情况说明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六</w:t>
      </w:r>
      <w:r>
        <w:rPr>
          <w:rFonts w:ascii="Times New Roman" w:hAnsi="Times New Roman" w:eastAsia="仿宋_GB2312" w:cs="Times New Roman"/>
          <w:color w:val="000000" w:themeColor="text1"/>
          <w:sz w:val="32"/>
          <w:szCs w:val="32"/>
          <w14:textFill>
            <w14:solidFill>
              <w14:schemeClr w14:val="tx1"/>
            </w14:solidFill>
          </w14:textFill>
        </w:rPr>
        <w:t>、其他重要事项的说明</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第三部分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名词解释</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w:t>
      </w:r>
      <w:r>
        <w:rPr>
          <w:rFonts w:hint="eastAsia" w:ascii="Times New Roman" w:hAnsi="Times New Roman" w:eastAsia="黑体" w:cs="Times New Roman"/>
          <w:color w:val="000000" w:themeColor="text1"/>
          <w:sz w:val="32"/>
          <w:szCs w:val="32"/>
          <w14:textFill>
            <w14:solidFill>
              <w14:schemeClr w14:val="tx1"/>
            </w14:solidFill>
          </w14:textFill>
        </w:rPr>
        <w:t>四</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201</w:t>
      </w:r>
      <w:r>
        <w:rPr>
          <w:rFonts w:hint="eastAsia" w:ascii="Times New Roman" w:hAnsi="Times New Roman" w:eastAsia="黑体" w:cs="Times New Roman"/>
          <w:color w:val="000000" w:themeColor="text1"/>
          <w:sz w:val="32"/>
          <w:szCs w:val="32"/>
          <w14:textFill>
            <w14:solidFill>
              <w14:schemeClr w14:val="tx1"/>
            </w14:solidFill>
          </w14:textFill>
        </w:rPr>
        <w:t>9</w:t>
      </w:r>
      <w:r>
        <w:rPr>
          <w:rFonts w:ascii="Times New Roman" w:hAnsi="Times New Roman" w:eastAsia="黑体" w:cs="Times New Roman"/>
          <w:color w:val="000000" w:themeColor="text1"/>
          <w:sz w:val="32"/>
          <w:szCs w:val="32"/>
          <w14:textFill>
            <w14:solidFill>
              <w14:schemeClr w14:val="tx1"/>
            </w14:solidFill>
          </w14:textFill>
        </w:rPr>
        <w:t>年度部门决算报表</w:t>
      </w:r>
    </w:p>
    <w:p>
      <w:pPr>
        <w:widowControl/>
        <w:spacing w:after="160" w:line="584" w:lineRule="exact"/>
        <w:ind w:firstLine="640" w:firstLineChars="200"/>
        <w:rPr>
          <w:rFonts w:ascii="Times New Roman" w:hAnsi="Times New Roman" w:eastAsia="仿宋_GB2312" w:cs="Times New Roman"/>
          <w:color w:val="000000" w:themeColor="text1"/>
          <w:sz w:val="20"/>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第五</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预算绩效</w:t>
      </w:r>
      <w:r>
        <w:rPr>
          <w:rFonts w:ascii="Times New Roman" w:hAnsi="Times New Roman" w:eastAsia="黑体" w:cs="Times New Roman"/>
          <w:color w:val="000000" w:themeColor="text1"/>
          <w:sz w:val="32"/>
          <w:szCs w:val="32"/>
          <w14:textFill>
            <w14:solidFill>
              <w14:schemeClr w14:val="tx1"/>
            </w14:solidFill>
          </w14:textFill>
        </w:rPr>
        <w:t>公开内容</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、预算绩效情况说明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预算</w:t>
      </w:r>
      <w:r>
        <w:rPr>
          <w:rFonts w:ascii="Times New Roman" w:hAnsi="Times New Roman" w:eastAsia="仿宋_GB2312" w:cs="Times New Roman"/>
          <w:color w:val="000000" w:themeColor="text1"/>
          <w:sz w:val="32"/>
          <w:szCs w:val="32"/>
          <w14:textFill>
            <w14:solidFill>
              <w14:schemeClr w14:val="tx1"/>
            </w14:solidFill>
          </w14:textFill>
        </w:rPr>
        <w:t>绩效公开表格</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项目支出绩效自评表</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部门（单位）整体绩效自评表</w:t>
      </w:r>
    </w:p>
    <w:p>
      <w:pPr>
        <w:widowControl/>
        <w:spacing w:after="160" w:line="560"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rPr>
          <w:color w:val="000000" w:themeColor="text1"/>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30"/>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rPr>
          <w:color w:val="000000" w:themeColor="text1"/>
          <w14:textFill>
            <w14:solidFill>
              <w14:schemeClr w14:val="tx1"/>
            </w14:solidFill>
          </w14:textFill>
        </w:rPr>
        <w:br w:type="page"/>
      </w:r>
    </w:p>
    <w:p>
      <w:pPr>
        <w:pStyle w:val="2"/>
        <w:spacing w:before="0" w:after="0" w:line="580" w:lineRule="exact"/>
        <w:ind w:firstLine="640" w:firstLineChars="200"/>
        <w:jc w:val="left"/>
        <w:rPr>
          <w:rFonts w:ascii="黑体" w:eastAsia="黑体" w:cs="黑体"/>
          <w:b w:val="0"/>
          <w:bCs w:val="0"/>
          <w:color w:val="000000" w:themeColor="text1"/>
          <w:kern w:val="0"/>
          <w:sz w:val="32"/>
          <w:szCs w:val="32"/>
          <w14:textFill>
            <w14:solidFill>
              <w14:schemeClr w14:val="tx1"/>
            </w14:solidFill>
          </w14:textFill>
        </w:rPr>
      </w:pPr>
      <w:r>
        <w:rPr>
          <w:rFonts w:hint="eastAsia" w:ascii="黑体" w:eastAsia="黑体" w:cs="黑体"/>
          <w:b w:val="0"/>
          <w:bCs w:val="0"/>
          <w:color w:val="000000" w:themeColor="text1"/>
          <w:kern w:val="0"/>
          <w:sz w:val="32"/>
          <w:szCs w:val="32"/>
          <w14:textFill>
            <w14:solidFill>
              <w14:schemeClr w14:val="tx1"/>
            </w14:solidFill>
          </w14:textFill>
        </w:rPr>
        <w:t>一、部门职责</w:t>
      </w:r>
    </w:p>
    <w:p>
      <w:pPr>
        <w:pStyle w:val="2"/>
        <w:spacing w:before="0" w:beforeLines="0" w:after="0" w:afterLines="0" w:line="60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b w:val="0"/>
          <w:bCs w:val="0"/>
          <w:color w:val="000000"/>
          <w:sz w:val="32"/>
          <w:szCs w:val="32"/>
        </w:rPr>
        <w:t>（一）承担全面依法治县重大问题的政策研究。组织协调有关方面提出全面依法治县中长期规划建议，负责有关重大决策部署督察工作。</w:t>
      </w:r>
    </w:p>
    <w:p>
      <w:pPr>
        <w:snapToGrid w:val="0"/>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（二）负责县政府规范性文件的备案审查工作。负责对县政府政策措施、规范性文件和合同协议的合法性审核工作；承办县政府交办的涉法事务。</w:t>
      </w:r>
      <w:r>
        <w:rPr>
          <w:rFonts w:ascii="仿宋" w:hAnsi="仿宋" w:eastAsia="仿宋" w:cs="仿宋"/>
          <w:color w:val="000000"/>
          <w:sz w:val="32"/>
          <w:szCs w:val="32"/>
        </w:rPr>
        <w:t xml:space="preserve"> </w:t>
      </w:r>
    </w:p>
    <w:p>
      <w:pPr>
        <w:snapToGrid w:val="0"/>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承担统筹推进大厂回族自治县法治政府建设的责任。指导、监督县政府各部门依法行政工作；负责综合协调行政执法工作；推进严格规范公正文明执法。依法承办行政复议案件；受县政府委托，代理行政诉讼案件的应诉。</w:t>
      </w:r>
    </w:p>
    <w:p>
      <w:pPr>
        <w:snapToGrid w:val="0"/>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（四）承担统筹规划全县法治社会建设的责任。负责拟订全县法治宣传教育规划，组织实施普法宣传工作；推动全县人民参与和促进法治建设；指导全县依法治理和法治创建工作。</w:t>
      </w:r>
    </w:p>
    <w:p>
      <w:pPr>
        <w:snapToGrid w:val="0"/>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（五）指导全县调解工作，负责和指导全县人民陪审员、人民监督员选任管理工作；负责全县司法所建设。</w:t>
      </w:r>
    </w:p>
    <w:p>
      <w:pPr>
        <w:snapToGrid w:val="0"/>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（六）负责全县社区矫正工作；负责全县刑满释放人员安置帮教工作。</w:t>
      </w:r>
    </w:p>
    <w:p>
      <w:pPr>
        <w:snapToGrid w:val="0"/>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（七）负责制定全县公共法律服务体系建设规划并指导实施，统筹和布局城乡、区域法律服务资源。负责全县律师、公证、法律援助、司法鉴定和基层法律服务管理工作。</w:t>
      </w:r>
    </w:p>
    <w:p>
      <w:pPr>
        <w:snapToGrid w:val="0"/>
        <w:spacing w:line="580" w:lineRule="exact"/>
        <w:ind w:firstLine="640" w:firstLineChars="200"/>
        <w:rPr>
          <w:rFonts w:ascii="仿宋" w:hAnsi="仿宋" w:eastAsia="仿宋"/>
          <w:color w:val="000000"/>
          <w:sz w:val="32"/>
          <w:szCs w:val="32"/>
        </w:rPr>
      </w:pPr>
      <w:r>
        <w:rPr>
          <w:rFonts w:ascii="仿宋" w:hAnsi="仿宋" w:eastAsia="仿宋" w:cs="仿宋"/>
          <w:color w:val="000000"/>
          <w:sz w:val="32"/>
          <w:szCs w:val="32"/>
        </w:rPr>
        <w:t>(</w:t>
      </w:r>
      <w:r>
        <w:rPr>
          <w:rFonts w:hint="eastAsia" w:ascii="仿宋" w:hAnsi="仿宋" w:eastAsia="仿宋" w:cs="仿宋"/>
          <w:color w:val="000000"/>
          <w:sz w:val="32"/>
          <w:szCs w:val="32"/>
        </w:rPr>
        <w:t>八</w:t>
      </w:r>
      <w:r>
        <w:rPr>
          <w:rFonts w:ascii="仿宋" w:hAnsi="仿宋" w:eastAsia="仿宋" w:cs="仿宋"/>
          <w:color w:val="000000"/>
          <w:sz w:val="32"/>
          <w:szCs w:val="32"/>
        </w:rPr>
        <w:t>)</w:t>
      </w:r>
      <w:r>
        <w:rPr>
          <w:rFonts w:hint="eastAsia" w:ascii="仿宋" w:hAnsi="仿宋" w:eastAsia="仿宋" w:cs="仿宋"/>
          <w:color w:val="000000"/>
          <w:sz w:val="32"/>
          <w:szCs w:val="32"/>
        </w:rPr>
        <w:t>规划、协调、指导全县法治人才队伍建设和思想政治工作，协助县委考察司法所领导干部。</w:t>
      </w:r>
    </w:p>
    <w:p>
      <w:pPr>
        <w:snapToGrid w:val="0"/>
        <w:spacing w:line="580" w:lineRule="exact"/>
        <w:rPr>
          <w:rFonts w:ascii="仿宋_GB2312" w:hAnsi="Calibri" w:eastAsia="仿宋_GB2312" w:cs="ArialUnicodeMS"/>
          <w:color w:val="000000" w:themeColor="text1"/>
          <w:kern w:val="0"/>
          <w:sz w:val="32"/>
          <w:szCs w:val="32"/>
          <w14:textFill>
            <w14:solidFill>
              <w14:schemeClr w14:val="tx1"/>
            </w14:solidFill>
          </w14:textFill>
        </w:rPr>
      </w:pPr>
      <w:r>
        <w:rPr>
          <w:rFonts w:hint="eastAsia" w:ascii="仿宋" w:hAnsi="仿宋" w:eastAsia="仿宋" w:cs="仿宋"/>
          <w:color w:val="000000"/>
          <w:sz w:val="32"/>
          <w:szCs w:val="32"/>
          <w:lang w:val="en-US" w:eastAsia="zh-CN"/>
        </w:rPr>
        <w:t xml:space="preserve">    </w:t>
      </w:r>
      <w:r>
        <w:rPr>
          <w:rFonts w:ascii="仿宋" w:hAnsi="仿宋" w:eastAsia="仿宋" w:cs="仿宋"/>
          <w:color w:val="000000"/>
          <w:sz w:val="32"/>
          <w:szCs w:val="32"/>
        </w:rPr>
        <w:t>(</w:t>
      </w:r>
      <w:r>
        <w:rPr>
          <w:rFonts w:hint="eastAsia" w:ascii="仿宋" w:hAnsi="仿宋" w:eastAsia="仿宋" w:cs="仿宋"/>
          <w:color w:val="000000"/>
          <w:sz w:val="32"/>
          <w:szCs w:val="32"/>
        </w:rPr>
        <w:t>九</w:t>
      </w:r>
      <w:r>
        <w:rPr>
          <w:rFonts w:ascii="仿宋" w:hAnsi="仿宋" w:eastAsia="仿宋" w:cs="仿宋"/>
          <w:color w:val="000000"/>
          <w:sz w:val="32"/>
          <w:szCs w:val="32"/>
        </w:rPr>
        <w:t>)</w:t>
      </w:r>
      <w:r>
        <w:rPr>
          <w:rFonts w:hint="eastAsia" w:ascii="仿宋" w:hAnsi="仿宋" w:eastAsia="仿宋" w:cs="仿宋"/>
          <w:color w:val="000000"/>
          <w:sz w:val="32"/>
          <w:szCs w:val="32"/>
        </w:rPr>
        <w:t>完成县委、县政府交办的其他任务。</w:t>
      </w:r>
    </w:p>
    <w:p>
      <w:pPr>
        <w:keepNext/>
        <w:keepLines/>
        <w:spacing w:line="580" w:lineRule="exact"/>
        <w:ind w:firstLine="640" w:firstLineChars="200"/>
        <w:jc w:val="left"/>
        <w:outlineLvl w:val="0"/>
        <w:rPr>
          <w:rFonts w:ascii="黑体" w:hAnsi="Calibri" w:eastAsia="黑体" w:cs="黑体"/>
          <w:color w:val="000000" w:themeColor="text1"/>
          <w:kern w:val="0"/>
          <w:sz w:val="32"/>
          <w:szCs w:val="32"/>
          <w14:textFill>
            <w14:solidFill>
              <w14:schemeClr w14:val="tx1"/>
            </w14:solidFill>
          </w14:textFill>
        </w:rPr>
      </w:pPr>
      <w:r>
        <w:rPr>
          <w:rFonts w:hint="eastAsia" w:ascii="黑体" w:hAnsi="Calibri" w:eastAsia="黑体" w:cs="黑体"/>
          <w:color w:val="000000" w:themeColor="text1"/>
          <w:kern w:val="0"/>
          <w:sz w:val="32"/>
          <w:szCs w:val="32"/>
          <w14:textFill>
            <w14:solidFill>
              <w14:schemeClr w14:val="tx1"/>
            </w14:solidFill>
          </w14:textFill>
        </w:rPr>
        <w:t>二、机构设置</w:t>
      </w:r>
    </w:p>
    <w:p>
      <w:pPr>
        <w:spacing w:line="580" w:lineRule="exact"/>
        <w:ind w:firstLine="640" w:firstLineChars="200"/>
        <w:rPr>
          <w:rFonts w:ascii="仿宋_GB2312" w:hAnsi="Calibri" w:eastAsia="仿宋_GB2312" w:cs="ArialUnicodeMS"/>
          <w:color w:val="000000" w:themeColor="text1"/>
          <w:kern w:val="0"/>
          <w:sz w:val="32"/>
          <w:szCs w:val="32"/>
          <w14:textFill>
            <w14:solidFill>
              <w14:schemeClr w14:val="tx1"/>
            </w14:solidFill>
          </w14:textFill>
        </w:rPr>
      </w:pPr>
      <w:r>
        <w:rPr>
          <w:rFonts w:hint="eastAsia" w:ascii="仿宋_GB2312" w:hAnsi="Calibri" w:eastAsia="仿宋_GB2312" w:cs="ArialUnicodeMS"/>
          <w:color w:val="000000" w:themeColor="text1"/>
          <w:kern w:val="0"/>
          <w:sz w:val="32"/>
          <w:szCs w:val="32"/>
          <w14:textFill>
            <w14:solidFill>
              <w14:schemeClr w14:val="tx1"/>
            </w14:solidFill>
          </w14:textFill>
        </w:rPr>
        <w:t>从决算编报单位构成看，纳入2019 年度本部门决算汇编范围的独立核算单位（以下简称“单位”）共</w:t>
      </w:r>
      <w:r>
        <w:rPr>
          <w:rFonts w:hint="eastAsia" w:ascii="仿宋_GB2312" w:hAnsi="Calibri" w:eastAsia="仿宋_GB2312" w:cs="ArialUnicodeMS"/>
          <w:color w:val="000000" w:themeColor="text1"/>
          <w:kern w:val="0"/>
          <w:sz w:val="32"/>
          <w:szCs w:val="32"/>
          <w:lang w:val="en-US" w:eastAsia="zh-CN"/>
          <w14:textFill>
            <w14:solidFill>
              <w14:schemeClr w14:val="tx1"/>
            </w14:solidFill>
          </w14:textFill>
        </w:rPr>
        <w:t>1</w:t>
      </w:r>
      <w:r>
        <w:rPr>
          <w:rFonts w:hint="eastAsia" w:ascii="仿宋_GB2312" w:hAnsi="Calibri" w:eastAsia="仿宋_GB2312" w:cs="ArialUnicodeMS"/>
          <w:color w:val="000000" w:themeColor="text1"/>
          <w:kern w:val="0"/>
          <w:sz w:val="32"/>
          <w:szCs w:val="32"/>
          <w14:textFill>
            <w14:solidFill>
              <w14:schemeClr w14:val="tx1"/>
            </w14:solidFill>
          </w14:textFill>
        </w:rPr>
        <w:t>个，具体情况如下：</w:t>
      </w:r>
    </w:p>
    <w:tbl>
      <w:tblPr>
        <w:tblStyle w:val="8"/>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color w:val="000000" w:themeColor="text1"/>
                <w:kern w:val="0"/>
                <w:sz w:val="28"/>
                <w:szCs w:val="28"/>
                <w14:textFill>
                  <w14:solidFill>
                    <w14:schemeClr w14:val="tx1"/>
                  </w14:solidFill>
                </w14:textFill>
              </w:rPr>
            </w:pPr>
            <w:r>
              <w:rPr>
                <w:rFonts w:hint="eastAsia" w:ascii="仿宋_GB2312" w:hAnsi="Calibri" w:eastAsia="仿宋_GB2312" w:cs="ArialUnicodeMS"/>
                <w:b/>
                <w:bCs/>
                <w:color w:val="000000" w:themeColor="text1"/>
                <w:kern w:val="0"/>
                <w:sz w:val="28"/>
                <w:szCs w:val="28"/>
                <w14:textFill>
                  <w14:solidFill>
                    <w14:schemeClr w14:val="tx1"/>
                  </w14:solidFill>
                </w14:textFill>
              </w:rPr>
              <w:t>序号</w:t>
            </w:r>
          </w:p>
        </w:tc>
        <w:tc>
          <w:tcPr>
            <w:tcW w:w="3485" w:type="dxa"/>
            <w:vAlign w:val="center"/>
          </w:tcPr>
          <w:p>
            <w:pPr>
              <w:spacing w:line="560" w:lineRule="exact"/>
              <w:jc w:val="center"/>
              <w:rPr>
                <w:rFonts w:ascii="仿宋_GB2312" w:hAnsi="Calibri" w:eastAsia="仿宋_GB2312" w:cs="ArialUnicodeMS"/>
                <w:b/>
                <w:bCs/>
                <w:color w:val="000000" w:themeColor="text1"/>
                <w:kern w:val="0"/>
                <w:sz w:val="28"/>
                <w:szCs w:val="28"/>
                <w14:textFill>
                  <w14:solidFill>
                    <w14:schemeClr w14:val="tx1"/>
                  </w14:solidFill>
                </w14:textFill>
              </w:rPr>
            </w:pPr>
            <w:r>
              <w:rPr>
                <w:rFonts w:hint="eastAsia" w:ascii="仿宋_GB2312" w:hAnsi="Calibri" w:eastAsia="仿宋_GB2312" w:cs="ArialUnicodeMS"/>
                <w:b/>
                <w:bCs/>
                <w:color w:val="000000" w:themeColor="text1"/>
                <w:kern w:val="0"/>
                <w:sz w:val="28"/>
                <w:szCs w:val="28"/>
                <w14:textFill>
                  <w14:solidFill>
                    <w14:schemeClr w14:val="tx1"/>
                  </w14:solidFill>
                </w14:textFill>
              </w:rPr>
              <w:t>单位名称</w:t>
            </w:r>
          </w:p>
        </w:tc>
        <w:tc>
          <w:tcPr>
            <w:tcW w:w="2445" w:type="dxa"/>
            <w:vAlign w:val="center"/>
          </w:tcPr>
          <w:p>
            <w:pPr>
              <w:spacing w:line="560" w:lineRule="exact"/>
              <w:jc w:val="center"/>
              <w:rPr>
                <w:rFonts w:ascii="仿宋_GB2312" w:hAnsi="Calibri" w:eastAsia="仿宋_GB2312" w:cs="ArialUnicodeMS"/>
                <w:b/>
                <w:bCs/>
                <w:color w:val="000000" w:themeColor="text1"/>
                <w:kern w:val="0"/>
                <w:sz w:val="28"/>
                <w:szCs w:val="28"/>
                <w14:textFill>
                  <w14:solidFill>
                    <w14:schemeClr w14:val="tx1"/>
                  </w14:solidFill>
                </w14:textFill>
              </w:rPr>
            </w:pPr>
            <w:r>
              <w:rPr>
                <w:rFonts w:hint="eastAsia" w:ascii="仿宋_GB2312" w:hAnsi="Calibri" w:eastAsia="仿宋_GB2312" w:cs="ArialUnicodeMS"/>
                <w:b/>
                <w:bCs/>
                <w:color w:val="000000" w:themeColor="text1"/>
                <w:kern w:val="0"/>
                <w:sz w:val="28"/>
                <w:szCs w:val="28"/>
                <w14:textFill>
                  <w14:solidFill>
                    <w14:schemeClr w14:val="tx1"/>
                  </w14:solidFill>
                </w14:textFill>
              </w:rPr>
              <w:t>单位基本性质</w:t>
            </w:r>
          </w:p>
        </w:tc>
        <w:tc>
          <w:tcPr>
            <w:tcW w:w="2665" w:type="dxa"/>
            <w:vAlign w:val="center"/>
          </w:tcPr>
          <w:p>
            <w:pPr>
              <w:spacing w:line="560" w:lineRule="exact"/>
              <w:jc w:val="center"/>
              <w:rPr>
                <w:rFonts w:ascii="仿宋_GB2312" w:hAnsi="Calibri" w:eastAsia="仿宋_GB2312" w:cs="ArialUnicodeMS"/>
                <w:b/>
                <w:bCs/>
                <w:color w:val="000000" w:themeColor="text1"/>
                <w:kern w:val="0"/>
                <w:sz w:val="28"/>
                <w:szCs w:val="28"/>
                <w14:textFill>
                  <w14:solidFill>
                    <w14:schemeClr w14:val="tx1"/>
                  </w14:solidFill>
                </w14:textFill>
              </w:rPr>
            </w:pPr>
            <w:r>
              <w:rPr>
                <w:rFonts w:hint="eastAsia" w:ascii="仿宋_GB2312" w:hAnsi="Calibri" w:eastAsia="仿宋_GB2312" w:cs="ArialUnicodeMS"/>
                <w:b/>
                <w:bCs/>
                <w:color w:val="000000" w:themeColor="text1"/>
                <w:kern w:val="0"/>
                <w:sz w:val="28"/>
                <w:szCs w:val="28"/>
                <w14:textFill>
                  <w14:solidFill>
                    <w14:schemeClr w14:val="tx1"/>
                  </w14:solidFill>
                </w14:textFill>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color w:val="000000" w:themeColor="text1"/>
                <w:kern w:val="0"/>
                <w:sz w:val="28"/>
                <w:szCs w:val="28"/>
                <w14:textFill>
                  <w14:solidFill>
                    <w14:schemeClr w14:val="tx1"/>
                  </w14:solidFill>
                </w14:textFill>
              </w:rPr>
            </w:pPr>
            <w:r>
              <w:rPr>
                <w:rFonts w:hint="eastAsia" w:ascii="仿宋_GB2312" w:hAnsi="Calibri" w:eastAsia="仿宋_GB2312" w:cs="ArialUnicodeMS"/>
                <w:color w:val="000000" w:themeColor="text1"/>
                <w:kern w:val="0"/>
                <w:sz w:val="28"/>
                <w:szCs w:val="28"/>
                <w14:textFill>
                  <w14:solidFill>
                    <w14:schemeClr w14:val="tx1"/>
                  </w14:solidFill>
                </w14:textFill>
              </w:rPr>
              <w:t>1</w:t>
            </w:r>
          </w:p>
        </w:tc>
        <w:tc>
          <w:tcPr>
            <w:tcW w:w="3485" w:type="dxa"/>
          </w:tcPr>
          <w:p>
            <w:pPr>
              <w:spacing w:line="560" w:lineRule="exact"/>
              <w:rPr>
                <w:rFonts w:ascii="仿宋_GB2312" w:hAnsi="Calibri" w:eastAsia="仿宋_GB2312" w:cs="ArialUnicodeMS"/>
                <w:color w:val="000000" w:themeColor="text1"/>
                <w:kern w:val="0"/>
                <w:sz w:val="28"/>
                <w:szCs w:val="28"/>
                <w14:textFill>
                  <w14:solidFill>
                    <w14:schemeClr w14:val="tx1"/>
                  </w14:solidFill>
                </w14:textFill>
              </w:rPr>
            </w:pPr>
            <w:r>
              <w:rPr>
                <w:rFonts w:hint="eastAsia" w:ascii="仿宋_GB2312" w:hAnsi="Cambria" w:eastAsia="仿宋_GB2312" w:cs="ArialUnicodeMS"/>
                <w:spacing w:val="-17"/>
                <w:kern w:val="0"/>
                <w:sz w:val="28"/>
                <w:szCs w:val="28"/>
                <w:lang w:val="en-US" w:eastAsia="zh-CN"/>
              </w:rPr>
              <w:t>大厂回族自治县司法局</w:t>
            </w:r>
            <w:r>
              <w:rPr>
                <w:rFonts w:hint="eastAsia" w:ascii="仿宋_GB2312" w:hAnsi="Cambria" w:eastAsia="仿宋_GB2312" w:cs="ArialUnicodeMS"/>
                <w:spacing w:val="-17"/>
                <w:kern w:val="0"/>
                <w:sz w:val="28"/>
                <w:szCs w:val="28"/>
              </w:rPr>
              <w:t>(本级)</w:t>
            </w:r>
          </w:p>
        </w:tc>
        <w:tc>
          <w:tcPr>
            <w:tcW w:w="2445" w:type="dxa"/>
            <w:vAlign w:val="top"/>
          </w:tcPr>
          <w:p>
            <w:pPr>
              <w:spacing w:after="0" w:afterLines="0" w:line="560" w:lineRule="exact"/>
              <w:jc w:val="center"/>
              <w:rPr>
                <w:rFonts w:ascii="仿宋_GB2312" w:hAnsi="Cambria" w:eastAsia="仿宋_GB2312" w:cs="ArialUnicodeMS"/>
                <w:kern w:val="0"/>
                <w:sz w:val="28"/>
                <w:szCs w:val="28"/>
                <w:lang w:val="en-US" w:eastAsia="zh-CN" w:bidi="ar-SA"/>
              </w:rPr>
            </w:pPr>
            <w:r>
              <w:rPr>
                <w:rFonts w:hint="eastAsia" w:ascii="仿宋_GB2312" w:hAnsi="Cambria" w:eastAsia="仿宋_GB2312" w:cs="ArialUnicodeMS"/>
                <w:kern w:val="0"/>
                <w:sz w:val="28"/>
                <w:szCs w:val="28"/>
                <w:highlight w:val="none"/>
              </w:rPr>
              <w:t>行政单位</w:t>
            </w:r>
          </w:p>
        </w:tc>
        <w:tc>
          <w:tcPr>
            <w:tcW w:w="2665" w:type="dxa"/>
            <w:vAlign w:val="top"/>
          </w:tcPr>
          <w:p>
            <w:pPr>
              <w:spacing w:after="0" w:afterLines="0" w:line="560" w:lineRule="exact"/>
              <w:jc w:val="center"/>
              <w:rPr>
                <w:rFonts w:ascii="仿宋_GB2312" w:hAnsi="Cambria" w:eastAsia="仿宋_GB2312" w:cs="ArialUnicodeMS"/>
                <w:kern w:val="0"/>
                <w:sz w:val="28"/>
                <w:szCs w:val="28"/>
                <w:lang w:val="en-US" w:eastAsia="zh-CN" w:bidi="ar-SA"/>
              </w:rPr>
            </w:pPr>
            <w:r>
              <w:rPr>
                <w:rFonts w:ascii="仿宋_GB2312" w:hAnsi="Cambria"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color w:val="000000" w:themeColor="text1"/>
                <w:kern w:val="0"/>
                <w:sz w:val="28"/>
                <w:szCs w:val="28"/>
                <w14:textFill>
                  <w14:solidFill>
                    <w14:schemeClr w14:val="tx1"/>
                  </w14:solidFill>
                </w14:textFill>
              </w:rPr>
            </w:pPr>
          </w:p>
        </w:tc>
      </w:tr>
    </w:tbl>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footerReference r:id="rId13" w:type="first"/>
          <w:headerReference r:id="rId11" w:type="default"/>
          <w:footerReference r:id="rId12"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headerReference r:id="rId14"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color w:val="000000" w:themeColor="text1"/>
          <w:sz w:val="32"/>
          <w:szCs w:val="32"/>
          <w14:textFill>
            <w14:solidFill>
              <w14:schemeClr w14:val="tx1"/>
            </w14:solidFill>
          </w14:textFill>
        </w:rPr>
        <w:sectPr>
          <w:pgSz w:w="11906" w:h="16838"/>
          <w:pgMar w:top="2041" w:right="1531" w:bottom="2041" w:left="1531" w:header="851" w:footer="992" w:gutter="0"/>
          <w:pgNumType w:fmt="numberInDash"/>
          <w:cols w:space="0" w:num="1"/>
          <w:titlePg/>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30"/>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一、收入</w:t>
      </w:r>
      <w:r>
        <w:rPr>
          <w:rFonts w:hint="eastAsia" w:ascii="黑体" w:hAnsi="Cambria" w:eastAsia="黑体" w:cs="黑体"/>
          <w:color w:val="000000" w:themeColor="text1"/>
          <w:kern w:val="0"/>
          <w:sz w:val="32"/>
          <w:szCs w:val="32"/>
          <w14:textFill>
            <w14:solidFill>
              <w14:schemeClr w14:val="tx1"/>
            </w14:solidFill>
          </w14:textFill>
        </w:rPr>
        <w:t>支出</w:t>
      </w:r>
      <w:r>
        <w:rPr>
          <w:rFonts w:hint="eastAsia" w:ascii="黑体" w:hAnsi="Calibri" w:eastAsia="黑体" w:cs="Times New Roman"/>
          <w:color w:val="000000" w:themeColor="text1"/>
          <w:sz w:val="32"/>
          <w:szCs w:val="32"/>
          <w14:textFill>
            <w14:solidFill>
              <w14:schemeClr w14:val="tx1"/>
            </w14:solidFill>
          </w14:textFill>
        </w:rPr>
        <w:t>决算总体情况说明</w:t>
      </w: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本部门2019年度收</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入</w:t>
      </w:r>
      <w:r>
        <w:rPr>
          <w:rFonts w:hint="eastAsia" w:ascii="仿宋_GB2312" w:hAnsi="Times New Roman" w:eastAsia="仿宋_GB2312" w:cs="DengXian-Regular"/>
          <w:color w:val="000000" w:themeColor="text1"/>
          <w:sz w:val="32"/>
          <w:szCs w:val="32"/>
          <w14:textFill>
            <w14:solidFill>
              <w14:schemeClr w14:val="tx1"/>
            </w14:solidFill>
          </w14:textFill>
        </w:rPr>
        <w:t>总计（含结转和结余）</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869.85</w:t>
      </w:r>
      <w:r>
        <w:rPr>
          <w:rFonts w:hint="eastAsia" w:ascii="仿宋_GB2312" w:hAnsi="Times New Roman" w:eastAsia="仿宋_GB2312" w:cs="DengXian-Regular"/>
          <w:color w:val="000000" w:themeColor="text1"/>
          <w:sz w:val="32"/>
          <w:szCs w:val="32"/>
          <w14:textFill>
            <w14:solidFill>
              <w14:schemeClr w14:val="tx1"/>
            </w14:solidFill>
          </w14:textFill>
        </w:rPr>
        <w:t>万元</w:t>
      </w:r>
      <w:r>
        <w:rPr>
          <w:rFonts w:hint="eastAsia" w:ascii="仿宋_GB2312" w:hAnsi="Times New Roman" w:eastAsia="仿宋_GB2312" w:cs="DengXian-Regular"/>
          <w:color w:val="000000" w:themeColor="text1"/>
          <w:sz w:val="32"/>
          <w:szCs w:val="32"/>
          <w:lang w:eastAsia="zh-CN"/>
          <w14:textFill>
            <w14:solidFill>
              <w14:schemeClr w14:val="tx1"/>
            </w14:solidFill>
          </w14:textFill>
        </w:rPr>
        <w:t>，</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支出总计</w:t>
      </w:r>
      <w:r>
        <w:rPr>
          <w:rFonts w:hint="eastAsia" w:ascii="仿宋_GB2312" w:eastAsia="仿宋_GB2312" w:cs="DengXian-Regular"/>
          <w:sz w:val="32"/>
          <w:szCs w:val="32"/>
          <w:lang w:eastAsia="zh-CN"/>
        </w:rPr>
        <w:t>837.66</w:t>
      </w:r>
      <w:r>
        <w:rPr>
          <w:rFonts w:hint="eastAsia" w:ascii="仿宋_GB2312" w:eastAsia="仿宋_GB2312" w:cs="DengXian-Regular"/>
          <w:sz w:val="32"/>
          <w:szCs w:val="32"/>
          <w:lang w:val="en-US" w:eastAsia="zh-CN"/>
        </w:rPr>
        <w:t>万元</w:t>
      </w:r>
      <w:r>
        <w:rPr>
          <w:rFonts w:hint="eastAsia" w:ascii="仿宋_GB2312" w:hAnsi="Times New Roman" w:eastAsia="仿宋_GB2312" w:cs="DengXian-Regular"/>
          <w:color w:val="000000" w:themeColor="text1"/>
          <w:sz w:val="32"/>
          <w:szCs w:val="32"/>
          <w14:textFill>
            <w14:solidFill>
              <w14:schemeClr w14:val="tx1"/>
            </w14:solidFill>
          </w14:textFill>
        </w:rPr>
        <w:t>。与2018年度决算相比，</w:t>
      </w:r>
      <w:r>
        <w:rPr>
          <w:rFonts w:hint="eastAsia" w:ascii="仿宋_GB2312" w:eastAsia="仿宋_GB2312" w:cs="DengXian-Regular"/>
          <w:sz w:val="32"/>
          <w:szCs w:val="32"/>
          <w:lang w:eastAsia="zh-CN"/>
        </w:rPr>
        <w:t>本年收入减少3</w:t>
      </w:r>
      <w:r>
        <w:rPr>
          <w:rFonts w:hint="eastAsia" w:ascii="仿宋_GB2312" w:eastAsia="仿宋_GB2312" w:cs="DengXian-Regular"/>
          <w:sz w:val="32"/>
          <w:szCs w:val="32"/>
          <w:lang w:val="en-US" w:eastAsia="zh-CN"/>
        </w:rPr>
        <w:t>7.33</w:t>
      </w:r>
      <w:r>
        <w:rPr>
          <w:rFonts w:hint="eastAsia" w:ascii="仿宋_GB2312" w:eastAsia="仿宋_GB2312" w:cs="DengXian-Regular"/>
          <w:sz w:val="32"/>
          <w:szCs w:val="32"/>
          <w:lang w:eastAsia="zh-CN"/>
        </w:rPr>
        <w:t>万元，</w:t>
      </w:r>
      <w:r>
        <w:rPr>
          <w:rFonts w:hint="eastAsia" w:ascii="仿宋_GB2312" w:eastAsia="仿宋_GB2312" w:cs="DengXian-Regular"/>
          <w:sz w:val="32"/>
          <w:szCs w:val="32"/>
          <w:lang w:val="en-US" w:eastAsia="zh-CN"/>
        </w:rPr>
        <w:t>下降4.11</w:t>
      </w:r>
      <w:r>
        <w:rPr>
          <w:rFonts w:hint="eastAsia" w:ascii="仿宋_GB2312" w:eastAsia="仿宋_GB2312" w:cs="DengXian-Regular"/>
          <w:sz w:val="32"/>
          <w:szCs w:val="32"/>
          <w:lang w:eastAsia="zh-CN"/>
        </w:rPr>
        <w:t>%，减少原因是2018年度由于业务需要，中期预算调整时增加了宪法学习宣传实施工作经费、扫黑除恶专项经费以及医疗纠纷调解委员会办公地点搬迁、租赁费等，2019年未做中期调整，且2019年末将本级财政拨款未支出金额全部收回，故收入数减少。本年</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减少58.05</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下降6.48</w:t>
      </w:r>
      <w:r>
        <w:rPr>
          <w:rFonts w:hint="eastAsia" w:ascii="仿宋" w:hAnsi="仿宋" w:eastAsia="仿宋"/>
          <w:color w:val="auto"/>
          <w:sz w:val="32"/>
          <w:szCs w:val="32"/>
          <w:highlight w:val="none"/>
        </w:rPr>
        <w:t>%，主要原因是</w:t>
      </w:r>
      <w:r>
        <w:rPr>
          <w:rFonts w:hint="eastAsia" w:ascii="仿宋_GB2312" w:eastAsia="仿宋_GB2312" w:cs="DengXian-Regular"/>
          <w:sz w:val="32"/>
          <w:szCs w:val="32"/>
          <w:lang w:eastAsia="zh-CN"/>
        </w:rPr>
        <w:t>工资变革，人员经费下降，厉行节约，缩减不必要开支。</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二、收入决算情况说明</w:t>
      </w:r>
    </w:p>
    <w:p>
      <w:pPr>
        <w:keepNext/>
        <w:keepLines/>
        <w:snapToGrid w:val="0"/>
        <w:spacing w:line="580" w:lineRule="exact"/>
        <w:ind w:firstLine="640" w:firstLineChars="200"/>
        <w:outlineLvl w:val="1"/>
        <w:rPr>
          <w:rFonts w:ascii="黑体" w:hAnsi="Calibri" w:eastAsia="黑体" w:cs="Times New Roman"/>
          <w:b/>
          <w:bCs/>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本部门2019年度本年收入合计</w:t>
      </w:r>
      <w:r>
        <w:rPr>
          <w:rFonts w:hint="eastAsia" w:ascii="仿宋_GB2312" w:eastAsia="仿宋_GB2312" w:cs="DengXian-Regular"/>
          <w:sz w:val="32"/>
          <w:szCs w:val="32"/>
          <w:lang w:eastAsia="zh-CN"/>
        </w:rPr>
        <w:t>861.92</w:t>
      </w:r>
      <w:r>
        <w:rPr>
          <w:rFonts w:hint="eastAsia" w:ascii="仿宋_GB2312" w:hAnsi="Times New Roman" w:eastAsia="仿宋_GB2312" w:cs="DengXian-Regular"/>
          <w:color w:val="000000" w:themeColor="text1"/>
          <w:sz w:val="32"/>
          <w:szCs w:val="32"/>
          <w14:textFill>
            <w14:solidFill>
              <w14:schemeClr w14:val="tx1"/>
            </w14:solidFill>
          </w14:textFill>
        </w:rPr>
        <w:t>万元，其中：财政拨款收入</w:t>
      </w:r>
      <w:r>
        <w:rPr>
          <w:rFonts w:hint="eastAsia" w:ascii="仿宋_GB2312" w:eastAsia="仿宋_GB2312" w:cs="DengXian-Regular"/>
          <w:sz w:val="32"/>
          <w:szCs w:val="32"/>
          <w:lang w:eastAsia="zh-CN"/>
        </w:rPr>
        <w:t>861.92</w:t>
      </w:r>
      <w:r>
        <w:rPr>
          <w:rFonts w:hint="eastAsia" w:ascii="仿宋_GB2312" w:hAnsi="Times New Roman" w:eastAsia="仿宋_GB2312" w:cs="DengXian-Regular"/>
          <w:color w:val="000000" w:themeColor="text1"/>
          <w:sz w:val="32"/>
          <w:szCs w:val="32"/>
          <w14:textFill>
            <w14:solidFill>
              <w14:schemeClr w14:val="tx1"/>
            </w14:solidFill>
          </w14:textFill>
        </w:rPr>
        <w:t>万元，占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100</w:t>
      </w:r>
      <w:r>
        <w:rPr>
          <w:rFonts w:hint="eastAsia" w:ascii="仿宋_GB2312" w:hAnsi="Times New Roman" w:eastAsia="仿宋_GB2312" w:cs="DengXian-Regular"/>
          <w:color w:val="000000" w:themeColor="text1"/>
          <w:sz w:val="32"/>
          <w:szCs w:val="32"/>
          <w14:textFill>
            <w14:solidFill>
              <w14:schemeClr w14:val="tx1"/>
            </w14:solidFill>
          </w14:textFill>
        </w:rPr>
        <w:t>%；事业收入</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%；经营收入</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%；其他收入</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三、支出决算情况说明</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本部门2019年度本年支出合计</w:t>
      </w:r>
      <w:r>
        <w:rPr>
          <w:rFonts w:hint="eastAsia" w:ascii="仿宋_GB2312" w:eastAsia="仿宋_GB2312" w:cs="DengXian-Regular"/>
          <w:sz w:val="32"/>
          <w:szCs w:val="32"/>
          <w:lang w:eastAsia="zh-CN"/>
        </w:rPr>
        <w:t>837.66</w:t>
      </w:r>
      <w:r>
        <w:rPr>
          <w:rFonts w:hint="eastAsia" w:ascii="仿宋_GB2312" w:hAnsi="Times New Roman" w:eastAsia="仿宋_GB2312" w:cs="DengXian-Regular"/>
          <w:color w:val="000000" w:themeColor="text1"/>
          <w:sz w:val="32"/>
          <w:szCs w:val="32"/>
          <w14:textFill>
            <w14:solidFill>
              <w14:schemeClr w14:val="tx1"/>
            </w14:solidFill>
          </w14:textFill>
        </w:rPr>
        <w:t>万元，其中：基本支出</w:t>
      </w:r>
      <w:r>
        <w:rPr>
          <w:rFonts w:hint="eastAsia" w:ascii="仿宋_GB2312" w:eastAsia="仿宋_GB2312" w:cs="DengXian-Regular"/>
          <w:sz w:val="32"/>
          <w:szCs w:val="32"/>
          <w:lang w:val="en-US" w:eastAsia="zh-CN"/>
        </w:rPr>
        <w:t>734.89</w:t>
      </w:r>
      <w:r>
        <w:rPr>
          <w:rFonts w:hint="eastAsia" w:ascii="仿宋_GB2312" w:hAnsi="Times New Roman" w:eastAsia="仿宋_GB2312" w:cs="DengXian-Regular"/>
          <w:color w:val="000000" w:themeColor="text1"/>
          <w:sz w:val="32"/>
          <w:szCs w:val="32"/>
          <w14:textFill>
            <w14:solidFill>
              <w14:schemeClr w14:val="tx1"/>
            </w14:solidFill>
          </w14:textFill>
        </w:rPr>
        <w:t>万元，占</w:t>
      </w:r>
      <w:r>
        <w:rPr>
          <w:rFonts w:hint="eastAsia" w:ascii="仿宋_GB2312" w:eastAsia="仿宋_GB2312" w:cs="DengXian-Regular"/>
          <w:sz w:val="32"/>
          <w:szCs w:val="32"/>
          <w:lang w:val="en-US" w:eastAsia="zh-CN"/>
        </w:rPr>
        <w:t>87.73</w:t>
      </w:r>
      <w:r>
        <w:rPr>
          <w:rFonts w:hint="eastAsia" w:ascii="仿宋_GB2312" w:hAnsi="Times New Roman" w:eastAsia="仿宋_GB2312" w:cs="DengXian-Regular"/>
          <w:color w:val="000000" w:themeColor="text1"/>
          <w:sz w:val="32"/>
          <w:szCs w:val="32"/>
          <w14:textFill>
            <w14:solidFill>
              <w14:schemeClr w14:val="tx1"/>
            </w14:solidFill>
          </w14:textFill>
        </w:rPr>
        <w:t>%；项目支出</w:t>
      </w:r>
      <w:r>
        <w:rPr>
          <w:rFonts w:hint="eastAsia" w:ascii="仿宋_GB2312" w:eastAsia="仿宋_GB2312" w:cs="DengXian-Regular"/>
          <w:sz w:val="32"/>
          <w:szCs w:val="32"/>
          <w:lang w:val="en-US" w:eastAsia="zh-CN"/>
        </w:rPr>
        <w:t>102.77</w:t>
      </w:r>
      <w:r>
        <w:rPr>
          <w:rFonts w:hint="eastAsia" w:ascii="仿宋_GB2312" w:hAnsi="Times New Roman" w:eastAsia="仿宋_GB2312" w:cs="DengXian-Regular"/>
          <w:color w:val="000000" w:themeColor="text1"/>
          <w:sz w:val="32"/>
          <w:szCs w:val="32"/>
          <w14:textFill>
            <w14:solidFill>
              <w14:schemeClr w14:val="tx1"/>
            </w14:solidFill>
          </w14:textFill>
        </w:rPr>
        <w:t>万元，占</w:t>
      </w:r>
      <w:r>
        <w:rPr>
          <w:rFonts w:hint="eastAsia" w:ascii="仿宋_GB2312" w:eastAsia="仿宋_GB2312" w:cs="DengXian-Regular"/>
          <w:sz w:val="32"/>
          <w:szCs w:val="32"/>
          <w:lang w:val="en-US" w:eastAsia="zh-CN"/>
        </w:rPr>
        <w:t>12.27</w:t>
      </w:r>
      <w:r>
        <w:rPr>
          <w:rFonts w:hint="eastAsia" w:ascii="仿宋_GB2312" w:hAnsi="Times New Roman" w:eastAsia="仿宋_GB2312" w:cs="DengXian-Regular"/>
          <w:color w:val="000000" w:themeColor="text1"/>
          <w:sz w:val="32"/>
          <w:szCs w:val="32"/>
          <w14:textFill>
            <w14:solidFill>
              <w14:schemeClr w14:val="tx1"/>
            </w14:solidFill>
          </w14:textFill>
        </w:rPr>
        <w:t>%；经营支出</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%。如图</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w:t>
      </w:r>
      <w:r>
        <w:rPr>
          <w:rFonts w:hint="eastAsia" w:ascii="仿宋_GB2312" w:hAnsi="Times New Roman" w:eastAsia="仿宋_GB2312" w:cs="DengXian-Regular"/>
          <w:color w:val="000000" w:themeColor="text1"/>
          <w:sz w:val="32"/>
          <w:szCs w:val="32"/>
          <w14:textFill>
            <w14:solidFill>
              <w14:schemeClr w14:val="tx1"/>
            </w14:solidFill>
          </w14:textFill>
        </w:rPr>
        <w:t>所示：</w:t>
      </w:r>
    </w:p>
    <w:p>
      <w:pPr>
        <w:adjustRightInd w:val="0"/>
        <w:snapToGrid w:val="0"/>
        <w:spacing w:line="580" w:lineRule="exact"/>
        <w:ind w:firstLine="1920" w:firstLineChars="600"/>
        <w:rPr>
          <w:rFonts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ind w:firstLine="1920" w:firstLineChars="600"/>
        <w:rPr>
          <w:rFonts w:ascii="仿宋_GB2312" w:hAnsi="Times New Roman" w:eastAsia="仿宋_GB2312" w:cs="DengXian-Regular"/>
          <w:color w:val="000000" w:themeColor="text1"/>
          <w:sz w:val="32"/>
          <w:szCs w:val="32"/>
          <w14:textFill>
            <w14:solidFill>
              <w14:schemeClr w14:val="tx1"/>
            </w14:solidFill>
          </w14:textFill>
        </w:rPr>
      </w:pPr>
    </w:p>
    <w:p>
      <w:pPr>
        <w:keepNext/>
        <w:keepLines/>
        <w:snapToGrid w:val="0"/>
        <w:spacing w:line="580" w:lineRule="exact"/>
        <w:ind w:firstLine="640" w:firstLineChars="200"/>
        <w:jc w:val="center"/>
        <w:outlineLvl w:val="1"/>
        <w:rPr>
          <w:rFonts w:hint="default" w:ascii="仿宋" w:hAnsi="仿宋" w:eastAsia="仿宋" w:cs="仿宋"/>
          <w:b/>
          <w:bCs/>
          <w:color w:val="000000" w:themeColor="text1"/>
          <w:sz w:val="32"/>
          <w:szCs w:val="32"/>
          <w:lang w:val="en-US"/>
          <w14:textFill>
            <w14:solidFill>
              <w14:schemeClr w14:val="tx1"/>
            </w14:solidFill>
          </w14:textFill>
        </w:rPr>
      </w:pPr>
      <w:r>
        <w:rPr>
          <w:rFonts w:hint="eastAsia" w:ascii="仿宋" w:hAnsi="仿宋" w:eastAsia="仿宋" w:cs="仿宋"/>
          <w:sz w:val="32"/>
          <w:szCs w:val="32"/>
        </w:rPr>
        <w:pict>
          <v:shape id="_x0000_s1026" o:spid="_x0000_s1026" o:spt="75" type="#_x0000_t75" style="position:absolute;left:0pt;margin-left:135.3pt;margin-top:133.8pt;height:188.55pt;width:301.8pt;mso-position-horizontal-relative:page;mso-position-vertical-relative:page;mso-wrap-distance-bottom:0pt;mso-wrap-distance-top:0pt;z-index:437286912;mso-width-relative:page;mso-height-relative:page;" o:ole="t" filled="f" o:preferrelative="t" stroked="f" coordsize="21600,21600">
            <v:path/>
            <v:fill on="f" focussize="0,0"/>
            <v:stroke on="f"/>
            <v:imagedata r:id="rId32" o:title=""/>
            <o:lock v:ext="edit" aspectratio="t"/>
            <w10:wrap type="topAndBottom"/>
          </v:shape>
          <o:OLEObject Type="Embed" ProgID="MSGraph.Chart.8" ShapeID="_x0000_s1026" DrawAspect="Content" ObjectID="_1468075725" r:id="rId31">
            <o:LockedField>false</o:LockedField>
          </o:OLEObject>
        </w:pict>
      </w:r>
      <w:r>
        <w:rPr>
          <w:rFonts w:hint="eastAsia" w:ascii="仿宋" w:hAnsi="仿宋" w:eastAsia="仿宋" w:cs="仿宋"/>
          <w:b/>
          <w:bCs/>
          <w:color w:val="000000" w:themeColor="text1"/>
          <w:sz w:val="32"/>
          <w:szCs w:val="32"/>
          <w:lang w:val="en-US" w:eastAsia="zh-CN"/>
          <w14:textFill>
            <w14:solidFill>
              <w14:schemeClr w14:val="tx1"/>
            </w14:solidFill>
          </w14:textFill>
        </w:rPr>
        <w:t>图1：支出决算结构图</w:t>
      </w:r>
    </w:p>
    <w:p>
      <w:pPr>
        <w:keepNext/>
        <w:keepLines/>
        <w:snapToGrid w:val="0"/>
        <w:spacing w:line="580" w:lineRule="exact"/>
        <w:ind w:firstLine="643" w:firstLineChars="200"/>
        <w:outlineLvl w:val="1"/>
        <w:rPr>
          <w:rFonts w:ascii="黑体" w:hAnsi="Calibri" w:eastAsia="黑体" w:cs="Times New Roman"/>
          <w:b/>
          <w:bCs/>
          <w:color w:val="000000" w:themeColor="text1"/>
          <w:sz w:val="32"/>
          <w:szCs w:val="32"/>
          <w14:textFill>
            <w14:solidFill>
              <w14:schemeClr w14:val="tx1"/>
            </w14:solidFill>
          </w14:textFill>
        </w:rPr>
      </w:pP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四、</w:t>
      </w:r>
      <w:r>
        <w:rPr>
          <w:rFonts w:hint="eastAsia" w:ascii="黑体" w:hAnsi="Cambria" w:eastAsia="黑体" w:cs="黑体"/>
          <w:color w:val="000000" w:themeColor="text1"/>
          <w:kern w:val="0"/>
          <w:sz w:val="32"/>
          <w:szCs w:val="32"/>
          <w14:textFill>
            <w14:solidFill>
              <w14:schemeClr w14:val="tx1"/>
            </w14:solidFill>
          </w14:textFill>
        </w:rPr>
        <w:t>财政</w:t>
      </w:r>
      <w:r>
        <w:rPr>
          <w:rFonts w:hint="eastAsia" w:ascii="黑体" w:hAnsi="Calibri" w:eastAsia="黑体" w:cs="Times New Roman"/>
          <w:color w:val="000000" w:themeColor="text1"/>
          <w:sz w:val="32"/>
          <w:szCs w:val="32"/>
          <w14:textFill>
            <w14:solidFill>
              <w14:schemeClr w14:val="tx1"/>
            </w14:solidFill>
          </w14:textFill>
        </w:rPr>
        <w:t>拨款收入支出决算总体情况说明</w:t>
      </w:r>
    </w:p>
    <w:p>
      <w:pPr>
        <w:snapToGrid w:val="0"/>
        <w:spacing w:line="580" w:lineRule="exact"/>
        <w:ind w:firstLine="643" w:firstLine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（一）财政拨款收支与2018 年度决算对比情况</w:t>
      </w:r>
    </w:p>
    <w:p>
      <w:pPr>
        <w:pageBreakBefore w:val="0"/>
        <w:kinsoku/>
        <w:wordWrap/>
        <w:overflowPunct/>
        <w:topLinePunct w:val="0"/>
        <w:autoSpaceDE/>
        <w:autoSpaceDN/>
        <w:bidi w:val="0"/>
        <w:adjustRightInd w:val="0"/>
        <w:snapToGrid w:val="0"/>
        <w:spacing w:after="0" w:line="560" w:lineRule="exact"/>
        <w:ind w:firstLine="640" w:firstLineChars="200"/>
        <w:textAlignment w:val="auto"/>
        <w:rPr>
          <w:rFonts w:hint="default" w:ascii="仿宋_GB2312" w:eastAsia="仿宋_GB2312" w:cs="DengXian-Regular"/>
          <w:sz w:val="32"/>
          <w:szCs w:val="32"/>
          <w:lang w:val="en-US"/>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本部门2019年度形成的财政拨款收支均为一般公共预算财政拨款，其中本年收入</w:t>
      </w:r>
      <w:r>
        <w:rPr>
          <w:rFonts w:hint="eastAsia" w:ascii="仿宋_GB2312" w:eastAsia="仿宋_GB2312" w:cs="DengXian-Regular"/>
          <w:sz w:val="32"/>
          <w:szCs w:val="32"/>
          <w:lang w:val="en-US" w:eastAsia="zh-CN"/>
        </w:rPr>
        <w:t>861.92</w:t>
      </w:r>
      <w:r>
        <w:rPr>
          <w:rFonts w:hint="eastAsia" w:ascii="仿宋_GB2312" w:hAnsi="Times New Roman" w:eastAsia="仿宋_GB2312" w:cs="DengXian-Regular"/>
          <w:color w:val="000000" w:themeColor="text1"/>
          <w:sz w:val="32"/>
          <w:szCs w:val="32"/>
          <w14:textFill>
            <w14:solidFill>
              <w14:schemeClr w14:val="tx1"/>
            </w14:solidFill>
          </w14:textFill>
        </w:rPr>
        <w:t>万元,</w:t>
      </w:r>
      <w:r>
        <w:rPr>
          <w:rFonts w:hint="eastAsia" w:ascii="仿宋_GB2312" w:eastAsia="仿宋_GB2312" w:cs="DengXian-Regular"/>
          <w:sz w:val="32"/>
          <w:szCs w:val="32"/>
        </w:rPr>
        <w:t>比</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年度减少</w:t>
      </w:r>
      <w:r>
        <w:rPr>
          <w:rFonts w:hint="eastAsia" w:ascii="仿宋_GB2312" w:eastAsia="仿宋_GB2312" w:cs="DengXian-Regular"/>
          <w:sz w:val="32"/>
          <w:szCs w:val="32"/>
          <w:lang w:val="en-US" w:eastAsia="zh-CN"/>
        </w:rPr>
        <w:t>33.46</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3.74</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2018年度由于业务需要，中期预算调整时增加了宪法学习宣传实施工作经费、扫黑除恶专项经费以及医疗纠纷调解委员会办公地点搬迁、租赁费等，2019年未做中期调整，且2019年末将本级财政拨款未支出金额全部收回，故收入数减少。</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837.66</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w:t>
      </w:r>
      <w:r>
        <w:rPr>
          <w:rFonts w:hint="eastAsia" w:ascii="仿宋_GB2312" w:eastAsia="仿宋_GB2312" w:cs="DengXian-Regular"/>
          <w:sz w:val="32"/>
          <w:szCs w:val="32"/>
        </w:rPr>
        <w:t>减少</w:t>
      </w:r>
      <w:r>
        <w:rPr>
          <w:rFonts w:hint="eastAsia" w:ascii="仿宋_GB2312" w:eastAsia="仿宋_GB2312" w:cs="DengXian-Regular"/>
          <w:sz w:val="32"/>
          <w:szCs w:val="32"/>
          <w:lang w:val="en-US" w:eastAsia="zh-CN"/>
        </w:rPr>
        <w:t>58.05</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6.48</w:t>
      </w:r>
      <w:r>
        <w:rPr>
          <w:rFonts w:hint="eastAsia" w:ascii="仿宋_GB2312" w:eastAsia="仿宋_GB2312" w:cs="DengXian-Regular"/>
          <w:sz w:val="32"/>
          <w:szCs w:val="32"/>
        </w:rPr>
        <w:t>%，主要是</w:t>
      </w:r>
      <w:r>
        <w:rPr>
          <w:rFonts w:hint="eastAsia" w:ascii="仿宋" w:hAnsi="仿宋" w:eastAsia="仿宋"/>
          <w:color w:val="auto"/>
          <w:sz w:val="32"/>
          <w:szCs w:val="32"/>
          <w:highlight w:val="none"/>
        </w:rPr>
        <w:t>原因是</w:t>
      </w:r>
      <w:r>
        <w:rPr>
          <w:rFonts w:hint="eastAsia" w:ascii="仿宋_GB2312" w:eastAsia="仿宋_GB2312" w:cs="DengXian-Regular"/>
          <w:sz w:val="32"/>
          <w:szCs w:val="32"/>
          <w:lang w:eastAsia="zh-CN"/>
        </w:rPr>
        <w:t>工资变革，人员经费下降，厉行节约，缩减不必要开支。</w:t>
      </w:r>
      <w:r>
        <w:rPr>
          <w:rFonts w:hint="eastAsia" w:ascii="仿宋_GB2312" w:eastAsia="仿宋_GB2312" w:cs="DengXian-Regular"/>
          <w:sz w:val="32"/>
          <w:szCs w:val="32"/>
          <w:lang w:val="en-US" w:eastAsia="zh-CN"/>
        </w:rPr>
        <w:t>如图2所示：</w:t>
      </w:r>
    </w:p>
    <w:p>
      <w:pPr>
        <w:snapToGrid w:val="0"/>
        <w:spacing w:line="580" w:lineRule="exact"/>
        <w:ind w:firstLine="643" w:firstLineChars="200"/>
        <w:rPr>
          <w:rFonts w:ascii="楷体_GB2312" w:hAnsi="Times New Roman" w:eastAsia="楷体_GB2312" w:cs="DengXian-Bold"/>
          <w:b/>
          <w:bCs/>
          <w:color w:val="000000" w:themeColor="text1"/>
          <w:sz w:val="32"/>
          <w:szCs w:val="32"/>
          <w14:textFill>
            <w14:solidFill>
              <w14:schemeClr w14:val="tx1"/>
            </w14:solidFill>
          </w14:textFill>
        </w:rPr>
      </w:pPr>
    </w:p>
    <w:p>
      <w:pPr>
        <w:snapToGrid w:val="0"/>
        <w:spacing w:line="240" w:lineRule="auto"/>
        <w:ind w:firstLine="643" w:firstLineChars="200"/>
        <w:rPr>
          <w:rFonts w:hint="eastAsia" w:ascii="楷体_GB2312" w:hAnsi="Times New Roman" w:eastAsia="楷体_GB2312" w:cs="DengXian-Bold"/>
          <w:b/>
          <w:bCs/>
          <w:color w:val="000000" w:themeColor="text1"/>
          <w:sz w:val="32"/>
          <w:szCs w:val="32"/>
          <w:lang w:eastAsia="zh-CN"/>
          <w14:textFill>
            <w14:solidFill>
              <w14:schemeClr w14:val="tx1"/>
            </w14:solidFill>
          </w14:textFill>
        </w:rPr>
      </w:pPr>
      <w:r>
        <w:rPr>
          <w:rFonts w:hint="eastAsia" w:ascii="楷体_GB2312" w:hAnsi="Times New Roman" w:eastAsia="楷体_GB2312" w:cs="DengXian-Bold"/>
          <w:b/>
          <w:bCs/>
          <w:color w:val="000000" w:themeColor="text1"/>
          <w:sz w:val="32"/>
          <w:szCs w:val="32"/>
          <w:lang w:eastAsia="zh-CN"/>
          <w14:textFill>
            <w14:solidFill>
              <w14:schemeClr w14:val="tx1"/>
            </w14:solidFill>
          </w14:textFill>
        </w:rPr>
        <w:drawing>
          <wp:inline distT="0" distB="0" distL="114300" distR="114300">
            <wp:extent cx="4953000" cy="3286125"/>
            <wp:effectExtent l="0" t="0" r="0" b="9525"/>
            <wp:docPr id="37" name="图片 3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图片1"/>
                    <pic:cNvPicPr>
                      <a:picLocks noChangeAspect="1"/>
                    </pic:cNvPicPr>
                  </pic:nvPicPr>
                  <pic:blipFill>
                    <a:blip r:embed="rId33"/>
                    <a:stretch>
                      <a:fillRect/>
                    </a:stretch>
                  </pic:blipFill>
                  <pic:spPr>
                    <a:xfrm>
                      <a:off x="0" y="0"/>
                      <a:ext cx="4953000" cy="3286125"/>
                    </a:xfrm>
                    <a:prstGeom prst="rect">
                      <a:avLst/>
                    </a:prstGeom>
                  </pic:spPr>
                </pic:pic>
              </a:graphicData>
            </a:graphic>
          </wp:inline>
        </w:drawing>
      </w:r>
    </w:p>
    <w:p>
      <w:pPr>
        <w:pageBreakBefore w:val="0"/>
        <w:kinsoku/>
        <w:wordWrap/>
        <w:overflowPunct/>
        <w:topLinePunct w:val="0"/>
        <w:autoSpaceDE/>
        <w:autoSpaceDN/>
        <w:bidi w:val="0"/>
        <w:adjustRightInd w:val="0"/>
        <w:snapToGrid w:val="0"/>
        <w:spacing w:after="0" w:line="560" w:lineRule="exact"/>
        <w:jc w:val="center"/>
        <w:textAlignment w:val="auto"/>
        <w:rPr>
          <w:rFonts w:hint="eastAsia" w:ascii="楷体_GB2312" w:hAnsi="Times New Roman" w:eastAsia="仿宋_GB2312" w:cs="DengXian-Bold"/>
          <w:b/>
          <w:bCs/>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图2：2018与2019</w:t>
      </w:r>
      <w:r>
        <w:rPr>
          <w:rFonts w:hint="eastAsia" w:eastAsia="仿宋_GB2312"/>
          <w:sz w:val="32"/>
          <w:szCs w:val="32"/>
          <w:lang w:val="en-US" w:eastAsia="zh-CN"/>
        </w:rPr>
        <w:t>年</w:t>
      </w:r>
      <w:r>
        <w:rPr>
          <w:rFonts w:hint="eastAsia" w:eastAsia="仿宋_GB2312"/>
          <w:sz w:val="32"/>
          <w:szCs w:val="32"/>
        </w:rPr>
        <w:t>财政拨款收支情况</w:t>
      </w:r>
      <w:r>
        <w:rPr>
          <w:rFonts w:hint="eastAsia" w:eastAsia="仿宋_GB2312"/>
          <w:sz w:val="32"/>
          <w:szCs w:val="32"/>
          <w:lang w:val="en-US" w:eastAsia="zh-CN"/>
        </w:rPr>
        <w:t>对比图</w:t>
      </w:r>
    </w:p>
    <w:p>
      <w:pPr>
        <w:snapToGrid w:val="0"/>
        <w:spacing w:line="580" w:lineRule="exact"/>
        <w:ind w:firstLine="643" w:firstLineChars="200"/>
        <w:rPr>
          <w:rFonts w:ascii="仿宋_GB2312" w:hAnsi="Times New Roman" w:eastAsia="仿宋_GB2312" w:cs="DengXian-Regular"/>
          <w:color w:val="000000" w:themeColor="text1"/>
          <w:sz w:val="32"/>
          <w:szCs w:val="32"/>
          <w:highlight w:val="yellow"/>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（二）财政拨款收支与年初预算数对比情况</w:t>
      </w: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本部门2019年度一般公共预算财政拨款收入</w:t>
      </w:r>
      <w:r>
        <w:rPr>
          <w:rFonts w:hint="eastAsia" w:ascii="仿宋_GB2312" w:eastAsia="仿宋_GB2312" w:cs="DengXian-Regular"/>
          <w:sz w:val="32"/>
          <w:szCs w:val="32"/>
          <w:lang w:val="en-US" w:eastAsia="zh-CN"/>
        </w:rPr>
        <w:t>861.92</w:t>
      </w:r>
      <w:r>
        <w:rPr>
          <w:rFonts w:hint="eastAsia" w:ascii="仿宋_GB2312" w:hAnsi="Times New Roman" w:eastAsia="仿宋_GB2312" w:cs="DengXian-Regular"/>
          <w:color w:val="000000" w:themeColor="text1"/>
          <w:sz w:val="32"/>
          <w:szCs w:val="32"/>
          <w14:textFill>
            <w14:solidFill>
              <w14:schemeClr w14:val="tx1"/>
            </w14:solidFill>
          </w14:textFill>
        </w:rPr>
        <w:t>万元，完成年初预算的</w:t>
      </w:r>
      <w:r>
        <w:rPr>
          <w:rFonts w:hint="eastAsia" w:ascii="仿宋_GB2312" w:eastAsia="仿宋_GB2312" w:cs="DengXian-Regular"/>
          <w:sz w:val="32"/>
          <w:szCs w:val="32"/>
          <w:lang w:val="en-US" w:eastAsia="zh-CN"/>
        </w:rPr>
        <w:t>103.72</w:t>
      </w:r>
      <w:r>
        <w:rPr>
          <w:rFonts w:hint="eastAsia" w:ascii="仿宋_GB2312" w:hAnsi="Times New Roman" w:eastAsia="仿宋_GB2312" w:cs="DengXian-Regular"/>
          <w:color w:val="000000" w:themeColor="text1"/>
          <w:sz w:val="32"/>
          <w:szCs w:val="32"/>
          <w14:textFill>
            <w14:solidFill>
              <w14:schemeClr w14:val="tx1"/>
            </w14:solidFill>
          </w14:textFill>
        </w:rPr>
        <w:t>（如图</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:3</w:t>
      </w:r>
      <w:r>
        <w:rPr>
          <w:rFonts w:hint="eastAsia" w:ascii="仿宋_GB2312" w:hAnsi="Times New Roman" w:eastAsia="仿宋_GB2312" w:cs="DengXian-Regular"/>
          <w:color w:val="000000" w:themeColor="text1"/>
          <w:sz w:val="32"/>
          <w:szCs w:val="32"/>
          <w14:textFill>
            <w14:solidFill>
              <w14:schemeClr w14:val="tx1"/>
            </w14:solidFill>
          </w14:textFill>
        </w:rPr>
        <w:t>）,比年初预算</w:t>
      </w:r>
      <w:r>
        <w:rPr>
          <w:rFonts w:hint="eastAsia" w:ascii="仿宋_GB2312" w:eastAsia="仿宋_GB2312" w:cs="DengXian-Regular"/>
          <w:sz w:val="32"/>
          <w:szCs w:val="32"/>
        </w:rPr>
        <w:t>增加</w:t>
      </w:r>
      <w:r>
        <w:rPr>
          <w:rFonts w:hint="eastAsia" w:ascii="仿宋_GB2312" w:eastAsia="仿宋_GB2312" w:cs="DengXian-Regular"/>
          <w:sz w:val="32"/>
          <w:szCs w:val="32"/>
          <w:lang w:val="en-US" w:eastAsia="zh-CN"/>
        </w:rPr>
        <w:t>30.95</w:t>
      </w:r>
      <w:r>
        <w:rPr>
          <w:rFonts w:hint="eastAsia" w:ascii="仿宋_GB2312" w:hAnsi="Times New Roman" w:eastAsia="仿宋_GB2312" w:cs="DengXian-Regular"/>
          <w:color w:val="000000" w:themeColor="text1"/>
          <w:sz w:val="32"/>
          <w:szCs w:val="32"/>
          <w14:textFill>
            <w14:solidFill>
              <w14:schemeClr w14:val="tx1"/>
            </w14:solidFill>
          </w14:textFill>
        </w:rPr>
        <w:t>万元，决算数大于预算数主要原因是</w:t>
      </w:r>
      <w:r>
        <w:rPr>
          <w:rFonts w:hint="eastAsia" w:ascii="仿宋_GB2312" w:eastAsia="仿宋_GB2312" w:cs="DengXian-Regular"/>
          <w:sz w:val="32"/>
          <w:szCs w:val="32"/>
          <w:lang w:val="en-US" w:eastAsia="zh-CN"/>
        </w:rPr>
        <w:t>机构改革将原法制办专项经费并入我局及第二批转移支付资金下达等均未列入年初预算中</w:t>
      </w:r>
      <w:r>
        <w:rPr>
          <w:rFonts w:hint="eastAsia" w:ascii="仿宋_GB2312" w:hAnsi="Times New Roman" w:eastAsia="仿宋_GB2312" w:cs="DengXian-Regular"/>
          <w:color w:val="000000" w:themeColor="text1"/>
          <w:sz w:val="32"/>
          <w:szCs w:val="32"/>
          <w14:textFill>
            <w14:solidFill>
              <w14:schemeClr w14:val="tx1"/>
            </w14:solidFill>
          </w14:textFill>
        </w:rPr>
        <w:t>；本年支出</w:t>
      </w:r>
      <w:r>
        <w:rPr>
          <w:rFonts w:hint="eastAsia" w:ascii="仿宋_GB2312" w:eastAsia="仿宋_GB2312" w:cs="DengXian-Regular"/>
          <w:sz w:val="32"/>
          <w:szCs w:val="32"/>
          <w:lang w:val="en-US" w:eastAsia="zh-CN"/>
        </w:rPr>
        <w:t>837.66</w:t>
      </w:r>
      <w:r>
        <w:rPr>
          <w:rFonts w:hint="eastAsia" w:ascii="仿宋_GB2312" w:hAnsi="Times New Roman" w:eastAsia="仿宋_GB2312" w:cs="DengXian-Regular"/>
          <w:color w:val="000000" w:themeColor="text1"/>
          <w:sz w:val="32"/>
          <w:szCs w:val="32"/>
          <w14:textFill>
            <w14:solidFill>
              <w14:schemeClr w14:val="tx1"/>
            </w14:solidFill>
          </w14:textFill>
        </w:rPr>
        <w:t>万元，完成年初预算的</w:t>
      </w:r>
      <w:r>
        <w:rPr>
          <w:rFonts w:hint="eastAsia" w:ascii="仿宋_GB2312" w:eastAsia="仿宋_GB2312" w:cs="DengXian-Regular"/>
          <w:sz w:val="32"/>
          <w:szCs w:val="32"/>
          <w:lang w:val="en-US" w:eastAsia="zh-CN"/>
        </w:rPr>
        <w:t>100.81</w:t>
      </w:r>
      <w:r>
        <w:rPr>
          <w:rFonts w:hint="eastAsia" w:ascii="仿宋_GB2312" w:hAnsi="Times New Roman" w:eastAsia="仿宋_GB2312" w:cs="DengXian-Regular"/>
          <w:color w:val="000000" w:themeColor="text1"/>
          <w:sz w:val="32"/>
          <w:szCs w:val="32"/>
          <w14:textFill>
            <w14:solidFill>
              <w14:schemeClr w14:val="tx1"/>
            </w14:solidFill>
          </w14:textFill>
        </w:rPr>
        <w:t>%,比年初预算增加</w:t>
      </w:r>
      <w:r>
        <w:rPr>
          <w:rFonts w:hint="eastAsia" w:ascii="仿宋_GB2312" w:eastAsia="仿宋_GB2312" w:cs="DengXian-Regular"/>
          <w:sz w:val="32"/>
          <w:szCs w:val="32"/>
          <w:lang w:val="en-US" w:eastAsia="zh-CN"/>
        </w:rPr>
        <w:t>6.69</w:t>
      </w:r>
      <w:r>
        <w:rPr>
          <w:rFonts w:hint="eastAsia" w:ascii="仿宋_GB2312" w:hAnsi="Times New Roman" w:eastAsia="仿宋_GB2312" w:cs="DengXian-Regular"/>
          <w:color w:val="000000" w:themeColor="text1"/>
          <w:sz w:val="32"/>
          <w:szCs w:val="32"/>
          <w14:textFill>
            <w14:solidFill>
              <w14:schemeClr w14:val="tx1"/>
            </w14:solidFill>
          </w14:textFill>
        </w:rPr>
        <w:t>万元，决算数大于预算数主要原因是主要是</w:t>
      </w:r>
      <w:r>
        <w:rPr>
          <w:rFonts w:hint="eastAsia" w:ascii="仿宋_GB2312" w:eastAsia="仿宋_GB2312" w:cs="DengXian-Regular"/>
          <w:sz w:val="32"/>
          <w:szCs w:val="32"/>
          <w:lang w:val="en-US" w:eastAsia="zh-CN"/>
        </w:rPr>
        <w:t>原法制办专项经费及第二批转移支付资金支出</w:t>
      </w:r>
      <w:r>
        <w:rPr>
          <w:rFonts w:hint="eastAsia" w:ascii="仿宋_GB2312" w:hAnsi="Times New Roman" w:eastAsia="仿宋_GB2312" w:cs="DengXian-Regular"/>
          <w:color w:val="000000" w:themeColor="text1"/>
          <w:sz w:val="32"/>
          <w:szCs w:val="32"/>
          <w14:textFill>
            <w14:solidFill>
              <w14:schemeClr w14:val="tx1"/>
            </w14:solidFill>
          </w14:textFill>
        </w:rPr>
        <w:t>。</w:t>
      </w:r>
    </w:p>
    <w:p>
      <w:pPr>
        <w:adjustRightInd w:val="0"/>
        <w:snapToGrid w:val="0"/>
        <w:spacing w:line="580" w:lineRule="exact"/>
        <w:ind w:firstLine="1600" w:firstLineChars="500"/>
        <w:rPr>
          <w:rFonts w:hint="eastAsia"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240" w:lineRule="auto"/>
        <w:ind w:firstLine="640" w:firstLineChars="200"/>
        <w:rPr>
          <w:rFonts w:hint="eastAsia" w:ascii="仿宋_GB2312" w:hAnsi="Times New Roman" w:eastAsia="仿宋_GB2312" w:cs="DengXian-Regular"/>
          <w:color w:val="000000" w:themeColor="text1"/>
          <w:sz w:val="32"/>
          <w:szCs w:val="32"/>
          <w:highlight w:val="yellow"/>
          <w:lang w:eastAsia="zh-CN"/>
          <w14:textFill>
            <w14:solidFill>
              <w14:schemeClr w14:val="tx1"/>
            </w14:solidFill>
          </w14:textFill>
        </w:rPr>
      </w:pPr>
      <w:r>
        <w:rPr>
          <w:rFonts w:hint="eastAsia" w:ascii="仿宋_GB2312" w:hAnsi="Times New Roman" w:eastAsia="仿宋_GB2312" w:cs="DengXian-Regular"/>
          <w:color w:val="000000" w:themeColor="text1"/>
          <w:sz w:val="32"/>
          <w:szCs w:val="32"/>
          <w:highlight w:val="yellow"/>
          <w:lang w:eastAsia="zh-CN"/>
          <w14:textFill>
            <w14:solidFill>
              <w14:schemeClr w14:val="tx1"/>
            </w14:solidFill>
          </w14:textFill>
        </w:rPr>
        <w:drawing>
          <wp:inline distT="0" distB="0" distL="114300" distR="114300">
            <wp:extent cx="4953000" cy="3286125"/>
            <wp:effectExtent l="0" t="0" r="0" b="9525"/>
            <wp:docPr id="38" name="图片 38" descr="收支预决算对比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收支预决算对比图"/>
                    <pic:cNvPicPr>
                      <a:picLocks noChangeAspect="1"/>
                    </pic:cNvPicPr>
                  </pic:nvPicPr>
                  <pic:blipFill>
                    <a:blip r:embed="rId34"/>
                    <a:stretch>
                      <a:fillRect/>
                    </a:stretch>
                  </pic:blipFill>
                  <pic:spPr>
                    <a:xfrm>
                      <a:off x="0" y="0"/>
                      <a:ext cx="4953000" cy="3286125"/>
                    </a:xfrm>
                    <a:prstGeom prst="rect">
                      <a:avLst/>
                    </a:prstGeom>
                  </pic:spPr>
                </pic:pic>
              </a:graphicData>
            </a:graphic>
          </wp:inline>
        </w:drawing>
      </w:r>
    </w:p>
    <w:p>
      <w:pPr>
        <w:adjustRightInd w:val="0"/>
        <w:snapToGrid w:val="0"/>
        <w:spacing w:line="580" w:lineRule="exact"/>
        <w:ind w:firstLine="640" w:firstLineChars="200"/>
        <w:jc w:val="center"/>
        <w:rPr>
          <w:rFonts w:ascii="仿宋_GB2312" w:hAnsi="Times New Roman" w:eastAsia="仿宋_GB2312" w:cs="DengXian-Regular"/>
          <w:color w:val="000000" w:themeColor="text1"/>
          <w:sz w:val="32"/>
          <w:szCs w:val="32"/>
          <w:highlight w:val="yellow"/>
          <w14:textFill>
            <w14:solidFill>
              <w14:schemeClr w14:val="tx1"/>
            </w14:solidFill>
          </w14:textFill>
        </w:rPr>
      </w:pPr>
      <w:r>
        <w:rPr>
          <w:rFonts w:hint="eastAsia" w:eastAsia="仿宋_GB2312"/>
          <w:sz w:val="32"/>
          <w:szCs w:val="32"/>
        </w:rPr>
        <w:t>图</w:t>
      </w:r>
      <w:r>
        <w:rPr>
          <w:rFonts w:hint="eastAsia" w:eastAsia="仿宋_GB2312"/>
          <w:sz w:val="32"/>
          <w:szCs w:val="32"/>
          <w:lang w:val="en-US" w:eastAsia="zh-CN"/>
        </w:rPr>
        <w:t>3</w:t>
      </w:r>
      <w:r>
        <w:rPr>
          <w:rFonts w:hint="eastAsia" w:eastAsia="仿宋_GB2312"/>
          <w:sz w:val="32"/>
          <w:szCs w:val="32"/>
        </w:rPr>
        <w:t>：财政拨款收支预决算对比情况</w:t>
      </w:r>
    </w:p>
    <w:p>
      <w:pPr>
        <w:numPr>
          <w:ilvl w:val="0"/>
          <w:numId w:val="1"/>
        </w:numPr>
        <w:adjustRightInd w:val="0"/>
        <w:snapToGrid w:val="0"/>
        <w:spacing w:line="580" w:lineRule="exact"/>
        <w:ind w:left="420" w:left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财政拨款支出决算结构情况。</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2019 年度财政拨款支出</w:t>
      </w:r>
      <w:r>
        <w:rPr>
          <w:rFonts w:hint="eastAsia" w:ascii="仿宋_GB2312" w:eastAsia="仿宋_GB2312" w:cs="DengXian-Regular"/>
          <w:sz w:val="32"/>
          <w:szCs w:val="32"/>
          <w:lang w:val="en-US" w:eastAsia="zh-CN"/>
        </w:rPr>
        <w:t>837.66</w:t>
      </w:r>
      <w:r>
        <w:rPr>
          <w:rFonts w:hint="eastAsia" w:ascii="仿宋_GB2312" w:hAnsi="Times New Roman" w:eastAsia="仿宋_GB2312" w:cs="DengXian-Regular"/>
          <w:color w:val="000000" w:themeColor="text1"/>
          <w:sz w:val="32"/>
          <w:szCs w:val="32"/>
          <w14:textFill>
            <w14:solidFill>
              <w14:schemeClr w14:val="tx1"/>
            </w14:solidFill>
          </w14:textFill>
        </w:rPr>
        <w:t>万元，主要用于以下方面</w:t>
      </w:r>
      <w:r>
        <w:rPr>
          <w:rFonts w:hint="eastAsia" w:ascii="仿宋_GB2312" w:hAnsi="Times New Roman" w:eastAsia="仿宋_GB2312" w:cs="DengXian-Regular"/>
          <w:color w:val="000000" w:themeColor="text1"/>
          <w:sz w:val="32"/>
          <w:szCs w:val="32"/>
          <w:lang w:eastAsia="zh-CN"/>
          <w14:textFill>
            <w14:solidFill>
              <w14:schemeClr w14:val="tx1"/>
            </w14:solidFill>
          </w14:textFill>
        </w:rPr>
        <w:t>：公共安全（类）支出</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729.63</w:t>
      </w:r>
      <w:r>
        <w:rPr>
          <w:rFonts w:hint="eastAsia" w:ascii="仿宋_GB2312" w:hAnsi="Times New Roman" w:eastAsia="仿宋_GB2312" w:cs="DengXian-Regular"/>
          <w:color w:val="000000" w:themeColor="text1"/>
          <w:sz w:val="32"/>
          <w:szCs w:val="32"/>
          <w:lang w:eastAsia="zh-CN"/>
          <w14:textFill>
            <w14:solidFill>
              <w14:schemeClr w14:val="tx1"/>
            </w14:solidFill>
          </w14:textFill>
        </w:rPr>
        <w:t>万元，占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87.11</w:t>
      </w:r>
      <w:r>
        <w:rPr>
          <w:rFonts w:hint="eastAsia" w:ascii="仿宋_GB2312" w:hAnsi="Times New Roman" w:eastAsia="仿宋_GB2312" w:cs="DengXian-Regular"/>
          <w:color w:val="000000" w:themeColor="text1"/>
          <w:sz w:val="32"/>
          <w:szCs w:val="32"/>
          <w:lang w:eastAsia="zh-CN"/>
          <w14:textFill>
            <w14:solidFill>
              <w14:schemeClr w14:val="tx1"/>
            </w14:solidFill>
          </w14:textFill>
        </w:rPr>
        <w:t>%；社会保障和就业（类）支出</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51.27</w:t>
      </w:r>
      <w:r>
        <w:rPr>
          <w:rFonts w:hint="eastAsia" w:ascii="仿宋_GB2312" w:hAnsi="Times New Roman" w:eastAsia="仿宋_GB2312" w:cs="DengXian-Regular"/>
          <w:color w:val="000000" w:themeColor="text1"/>
          <w:sz w:val="32"/>
          <w:szCs w:val="32"/>
          <w:lang w:eastAsia="zh-CN"/>
          <w14:textFill>
            <w14:solidFill>
              <w14:schemeClr w14:val="tx1"/>
            </w14:solidFill>
          </w14:textFill>
        </w:rPr>
        <w:t>万元，占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6.12</w:t>
      </w:r>
      <w:r>
        <w:rPr>
          <w:rFonts w:hint="eastAsia" w:ascii="仿宋_GB2312" w:hAnsi="Times New Roman" w:eastAsia="仿宋_GB2312" w:cs="DengXian-Regular"/>
          <w:color w:val="000000" w:themeColor="text1"/>
          <w:sz w:val="32"/>
          <w:szCs w:val="32"/>
          <w:lang w:eastAsia="zh-CN"/>
          <w14:textFill>
            <w14:solidFill>
              <w14:schemeClr w14:val="tx1"/>
            </w14:solidFill>
          </w14:textFill>
        </w:rPr>
        <w:t>%；卫生</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健康</w:t>
      </w:r>
      <w:r>
        <w:rPr>
          <w:rFonts w:hint="eastAsia" w:ascii="仿宋_GB2312" w:hAnsi="Times New Roman" w:eastAsia="仿宋_GB2312" w:cs="DengXian-Regular"/>
          <w:color w:val="000000" w:themeColor="text1"/>
          <w:sz w:val="32"/>
          <w:szCs w:val="32"/>
          <w:lang w:eastAsia="zh-CN"/>
          <w14:textFill>
            <w14:solidFill>
              <w14:schemeClr w14:val="tx1"/>
            </w14:solidFill>
          </w14:textFill>
        </w:rPr>
        <w:t>（类）支出</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21.23</w:t>
      </w:r>
      <w:r>
        <w:rPr>
          <w:rFonts w:hint="eastAsia" w:ascii="仿宋_GB2312" w:hAnsi="Times New Roman" w:eastAsia="仿宋_GB2312" w:cs="DengXian-Regular"/>
          <w:color w:val="000000" w:themeColor="text1"/>
          <w:sz w:val="32"/>
          <w:szCs w:val="32"/>
          <w:lang w:eastAsia="zh-CN"/>
          <w14:textFill>
            <w14:solidFill>
              <w14:schemeClr w14:val="tx1"/>
            </w14:solidFill>
          </w14:textFill>
        </w:rPr>
        <w:t>元，占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2.53</w:t>
      </w:r>
      <w:r>
        <w:rPr>
          <w:rFonts w:hint="eastAsia" w:ascii="仿宋_GB2312" w:hAnsi="Times New Roman" w:eastAsia="仿宋_GB2312" w:cs="DengXian-Regular"/>
          <w:color w:val="000000" w:themeColor="text1"/>
          <w:sz w:val="32"/>
          <w:szCs w:val="32"/>
          <w:lang w:eastAsia="zh-CN"/>
          <w14:textFill>
            <w14:solidFill>
              <w14:schemeClr w14:val="tx1"/>
            </w14:solidFill>
          </w14:textFill>
        </w:rPr>
        <w:t>%；住房保障（类）支出</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35.53</w:t>
      </w:r>
      <w:r>
        <w:rPr>
          <w:rFonts w:hint="eastAsia" w:ascii="仿宋_GB2312" w:hAnsi="Times New Roman" w:eastAsia="仿宋_GB2312" w:cs="DengXian-Regular"/>
          <w:color w:val="000000" w:themeColor="text1"/>
          <w:sz w:val="32"/>
          <w:szCs w:val="32"/>
          <w:lang w:eastAsia="zh-CN"/>
          <w14:textFill>
            <w14:solidFill>
              <w14:schemeClr w14:val="tx1"/>
            </w14:solidFill>
          </w14:textFill>
        </w:rPr>
        <w:t>万元，占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4.24</w:t>
      </w:r>
      <w:r>
        <w:rPr>
          <w:rFonts w:hint="eastAsia" w:ascii="仿宋_GB2312" w:hAnsi="Times New Roman" w:eastAsia="仿宋_GB2312" w:cs="DengXian-Regular"/>
          <w:color w:val="000000" w:themeColor="text1"/>
          <w:sz w:val="32"/>
          <w:szCs w:val="32"/>
          <w:lang w:eastAsia="zh-CN"/>
          <w14:textFill>
            <w14:solidFill>
              <w14:schemeClr w14:val="tx1"/>
            </w14:solidFill>
          </w14:textFill>
        </w:rPr>
        <w:t>%。</w:t>
      </w:r>
    </w:p>
    <w:p>
      <w:pPr>
        <w:adjustRightInd w:val="0"/>
        <w:snapToGrid w:val="0"/>
        <w:spacing w:line="580" w:lineRule="exact"/>
        <w:jc w:val="center"/>
        <w:rPr>
          <w:rFonts w:ascii="楷体_GB2312" w:hAnsi="Times New Roman" w:eastAsia="楷体_GB2312" w:cs="DengXian-Bold"/>
          <w:b/>
          <w:bCs/>
          <w:color w:val="000000" w:themeColor="text1"/>
          <w:sz w:val="32"/>
          <w:szCs w:val="32"/>
          <w14:textFill>
            <w14:solidFill>
              <w14:schemeClr w14:val="tx1"/>
            </w14:solidFill>
          </w14:textFill>
        </w:rPr>
      </w:pPr>
      <w:r>
        <w:rPr>
          <w:rFonts w:hint="eastAsia" w:eastAsia="仿宋_GB2312"/>
          <w:sz w:val="32"/>
          <w:szCs w:val="32"/>
        </w:rPr>
        <w:t>图</w:t>
      </w:r>
      <w:r>
        <w:rPr>
          <w:rFonts w:hint="eastAsia" w:eastAsia="仿宋_GB2312"/>
          <w:sz w:val="32"/>
          <w:szCs w:val="32"/>
          <w:lang w:val="en-US" w:eastAsia="zh-CN"/>
        </w:rPr>
        <w:t>4</w:t>
      </w:r>
      <w:r>
        <w:rPr>
          <w:rFonts w:hint="eastAsia" w:eastAsia="仿宋_GB2312"/>
          <w:sz w:val="32"/>
          <w:szCs w:val="32"/>
        </w:rPr>
        <w:t>：财政拨款支出决算结构（按功能分类）</w:t>
      </w:r>
      <w:r>
        <w:rPr>
          <w:rFonts w:ascii="仿宋" w:hAnsi="仿宋" w:eastAsia="仿宋" w:cs="仿宋_GB2312"/>
          <w:sz w:val="32"/>
          <w:szCs w:val="32"/>
        </w:rPr>
        <w:pict>
          <v:shape id="_x0000_s1027" o:spid="_x0000_s1027" o:spt="75" type="#_x0000_t75" style="position:absolute;left:0pt;margin-left:121.55pt;margin-top:544.8pt;height:163.05pt;width:267.85pt;mso-position-horizontal-relative:page;mso-position-vertical-relative:page;mso-wrap-distance-bottom:0pt;mso-wrap-distance-top:0pt;z-index:437296128;mso-width-relative:page;mso-height-relative:page;" o:ole="t" filled="f" o:preferrelative="t" stroked="f" coordsize="21600,21600">
            <v:path/>
            <v:fill on="f" focussize="0,0"/>
            <v:stroke on="f"/>
            <v:imagedata r:id="rId36" o:title=""/>
            <o:lock v:ext="edit" aspectratio="t"/>
            <w10:wrap type="topAndBottom"/>
          </v:shape>
          <o:OLEObject Type="Embed" ProgID="MSGraph.Chart.8" ShapeID="_x0000_s1027" DrawAspect="Content" ObjectID="_1468075726" r:id="rId35">
            <o:LockedField>false</o:LockedField>
          </o:OLEObject>
        </w:pict>
      </w:r>
    </w:p>
    <w:p>
      <w:pPr>
        <w:adjustRightInd w:val="0"/>
        <w:snapToGrid w:val="0"/>
        <w:spacing w:line="580" w:lineRule="exact"/>
        <w:ind w:left="420" w:left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2019 年度财政拨款基本支出</w:t>
      </w:r>
      <w:r>
        <w:rPr>
          <w:rFonts w:hint="eastAsia" w:ascii="仿宋_GB2312" w:eastAsia="仿宋_GB2312" w:cs="DengXian-Regular"/>
          <w:sz w:val="32"/>
          <w:szCs w:val="32"/>
          <w:lang w:val="en-US" w:eastAsia="zh-CN"/>
        </w:rPr>
        <w:t>734.89</w:t>
      </w:r>
      <w:r>
        <w:rPr>
          <w:rFonts w:hint="eastAsia" w:ascii="仿宋_GB2312" w:hAnsi="Times New Roman" w:eastAsia="仿宋_GB2312" w:cs="DengXian-Regular"/>
          <w:color w:val="000000" w:themeColor="text1"/>
          <w:sz w:val="32"/>
          <w:szCs w:val="32"/>
          <w14:textFill>
            <w14:solidFill>
              <w14:schemeClr w14:val="tx1"/>
            </w14:solidFill>
          </w14:textFill>
        </w:rPr>
        <w:t xml:space="preserve">万元，其中：人员经费 </w:t>
      </w:r>
      <w:r>
        <w:rPr>
          <w:rFonts w:hint="eastAsia" w:ascii="仿宋_GB2312" w:eastAsia="仿宋_GB2312" w:cs="DengXian-Regular"/>
          <w:sz w:val="32"/>
          <w:szCs w:val="32"/>
        </w:rPr>
        <w:t xml:space="preserve"> </w:t>
      </w:r>
      <w:r>
        <w:rPr>
          <w:rFonts w:hint="eastAsia" w:ascii="仿宋_GB2312" w:eastAsia="仿宋_GB2312" w:cs="DengXian-Regular"/>
          <w:sz w:val="32"/>
          <w:szCs w:val="32"/>
          <w:lang w:val="en-US" w:eastAsia="zh-CN"/>
        </w:rPr>
        <w:t>647.74</w:t>
      </w:r>
      <w:r>
        <w:rPr>
          <w:rFonts w:hint="eastAsia" w:ascii="仿宋_GB2312" w:hAnsi="Times New Roman" w:eastAsia="仿宋_GB2312" w:cs="DengXian-Regular"/>
          <w:color w:val="000000" w:themeColor="text1"/>
          <w:sz w:val="32"/>
          <w:szCs w:val="32"/>
          <w14:textFill>
            <w14:solidFill>
              <w14:schemeClr w14:val="tx1"/>
            </w14:solidFill>
          </w14:textFill>
        </w:rPr>
        <w:t>万元，主要包括</w:t>
      </w:r>
      <w:r>
        <w:rPr>
          <w:rFonts w:hint="eastAsia" w:ascii="仿宋_GB2312" w:eastAsia="仿宋_GB2312" w:cs="DengXian-Regular"/>
          <w:sz w:val="32"/>
          <w:szCs w:val="32"/>
        </w:rPr>
        <w:t>基本工资、津贴补贴、奖金、绩效工资、机关事业单位基本养老保险缴费、职工基本医疗保险缴费、住房公积金、其他社会保障缴费、其他工资福利支出、抚恤金、生活补助、奖励金等</w:t>
      </w:r>
      <w:r>
        <w:rPr>
          <w:rFonts w:hint="eastAsia" w:ascii="仿宋_GB2312" w:hAnsi="Times New Roman" w:eastAsia="仿宋_GB2312" w:cs="DengXian-Regular"/>
          <w:color w:val="000000" w:themeColor="text1"/>
          <w:sz w:val="32"/>
          <w:szCs w:val="32"/>
          <w14:textFill>
            <w14:solidFill>
              <w14:schemeClr w14:val="tx1"/>
            </w14:solidFill>
          </w14:textFill>
        </w:rPr>
        <w:t xml:space="preserve">；公用经费 </w:t>
      </w:r>
      <w:r>
        <w:rPr>
          <w:rFonts w:hint="eastAsia" w:ascii="仿宋_GB2312" w:eastAsia="仿宋_GB2312" w:cs="DengXian-Regular"/>
          <w:sz w:val="32"/>
          <w:szCs w:val="32"/>
          <w:lang w:val="en-US" w:eastAsia="zh-CN"/>
        </w:rPr>
        <w:t>87.17</w:t>
      </w:r>
      <w:r>
        <w:rPr>
          <w:rFonts w:hint="eastAsia" w:ascii="仿宋_GB2312" w:hAnsi="Times New Roman" w:eastAsia="仿宋_GB2312" w:cs="DengXian-Regular"/>
          <w:color w:val="000000" w:themeColor="text1"/>
          <w:sz w:val="32"/>
          <w:szCs w:val="32"/>
          <w14:textFill>
            <w14:solidFill>
              <w14:schemeClr w14:val="tx1"/>
            </w14:solidFill>
          </w14:textFill>
        </w:rPr>
        <w:t>万元，主要包括</w:t>
      </w:r>
      <w:r>
        <w:rPr>
          <w:rFonts w:hint="eastAsia" w:ascii="仿宋_GB2312" w:eastAsia="仿宋_GB2312" w:cs="DengXian-Regular"/>
          <w:sz w:val="32"/>
          <w:szCs w:val="32"/>
        </w:rPr>
        <w:t>办公费、水费、电费、邮电费、取暖费、物业管理费、差旅费、维修（护）费、培训费、劳务费、工会经费、福利费、公务用车运行维护费、其他交通费用、其他商品和服务支出、办公设备购置、专用设备购置等</w:t>
      </w:r>
      <w:r>
        <w:rPr>
          <w:rFonts w:hint="eastAsia" w:ascii="仿宋_GB2312" w:hAnsi="Times New Roman" w:eastAsia="仿宋_GB2312" w:cs="DengXian-Regular"/>
          <w:color w:val="000000" w:themeColor="text1"/>
          <w:sz w:val="32"/>
          <w:szCs w:val="32"/>
          <w14:textFill>
            <w14:solidFill>
              <w14:schemeClr w14:val="tx1"/>
            </w14:solidFill>
          </w14:textFill>
        </w:rPr>
        <w:t>支出。</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本部门2019年度“三公”经费支出共计6.08万元，完成预算的</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71.36</w:t>
      </w:r>
      <w:r>
        <w:rPr>
          <w:rFonts w:hint="eastAsia" w:ascii="仿宋_GB2312" w:hAnsi="Times New Roman" w:eastAsia="仿宋_GB2312" w:cs="DengXian-Regular"/>
          <w:color w:val="000000" w:themeColor="text1"/>
          <w:sz w:val="32"/>
          <w:szCs w:val="32"/>
          <w14:textFill>
            <w14:solidFill>
              <w14:schemeClr w14:val="tx1"/>
            </w14:solidFill>
          </w14:textFill>
        </w:rPr>
        <w:t>%,较预算减少2.44万元，降低28.64%，主要是</w:t>
      </w:r>
      <w:r>
        <w:rPr>
          <w:rFonts w:hint="eastAsia" w:eastAsia="仿宋_GB2312"/>
          <w:sz w:val="32"/>
          <w:szCs w:val="32"/>
          <w:lang w:val="en-US" w:eastAsia="zh-CN"/>
        </w:rPr>
        <w:t>公车改革后，公车出行受限，公务用车运行维护费支出降低</w:t>
      </w:r>
      <w:r>
        <w:rPr>
          <w:rFonts w:hint="eastAsia" w:ascii="仿宋_GB2312" w:hAnsi="Times New Roman" w:eastAsia="仿宋_GB2312" w:cs="DengXian-Regular"/>
          <w:color w:val="000000" w:themeColor="text1"/>
          <w:sz w:val="32"/>
          <w:szCs w:val="32"/>
          <w14:textFill>
            <w14:solidFill>
              <w14:schemeClr w14:val="tx1"/>
            </w14:solidFill>
          </w14:textFill>
        </w:rPr>
        <w:t>；较2018年度增加1.27万元，增长26.52%，主要是</w:t>
      </w:r>
      <w:r>
        <w:rPr>
          <w:rFonts w:hint="eastAsia" w:eastAsia="仿宋_GB2312"/>
          <w:sz w:val="32"/>
          <w:szCs w:val="32"/>
          <w:lang w:val="en-US" w:eastAsia="zh-CN"/>
        </w:rPr>
        <w:t>本年燃油及修理费包含上年近5个月的支出，故增多</w:t>
      </w:r>
      <w:r>
        <w:rPr>
          <w:rFonts w:hint="eastAsia" w:ascii="仿宋_GB2312" w:hAnsi="Times New Roman" w:eastAsia="仿宋_GB2312" w:cs="DengXian-Regular"/>
          <w:color w:val="000000" w:themeColor="text1"/>
          <w:sz w:val="32"/>
          <w:szCs w:val="32"/>
          <w14:textFill>
            <w14:solidFill>
              <w14:schemeClr w14:val="tx1"/>
            </w14:solidFill>
          </w14:textFill>
        </w:rPr>
        <w:t>。具体情况如下：</w:t>
      </w:r>
    </w:p>
    <w:p>
      <w:pPr>
        <w:adjustRightInd w:val="0"/>
        <w:snapToGrid w:val="0"/>
        <w:spacing w:line="580" w:lineRule="exact"/>
        <w:ind w:firstLine="643"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（一）因公出国（境）费支出</w:t>
      </w:r>
      <w:r>
        <w:rPr>
          <w:rFonts w:hint="eastAsia" w:ascii="楷体_GB2312" w:hAnsi="Times New Roman" w:eastAsia="楷体_GB2312" w:cs="DengXian-Bold"/>
          <w:b/>
          <w:bCs/>
          <w:color w:val="000000" w:themeColor="text1"/>
          <w:sz w:val="32"/>
          <w:szCs w:val="32"/>
          <w:lang w:val="en-US" w:eastAsia="zh-CN"/>
          <w14:textFill>
            <w14:solidFill>
              <w14:schemeClr w14:val="tx1"/>
            </w14:solidFill>
          </w14:textFill>
        </w:rPr>
        <w:t>0</w:t>
      </w:r>
      <w:r>
        <w:rPr>
          <w:rFonts w:hint="eastAsia" w:ascii="楷体_GB2312" w:hAnsi="Times New Roman" w:eastAsia="楷体_GB2312" w:cs="DengXian-Bold"/>
          <w:b/>
          <w:bCs/>
          <w:color w:val="000000" w:themeColor="text1"/>
          <w:sz w:val="32"/>
          <w:szCs w:val="32"/>
          <w14:textFill>
            <w14:solidFill>
              <w14:schemeClr w14:val="tx1"/>
            </w14:solidFill>
          </w14:textFill>
        </w:rPr>
        <w:t>万元。</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本部门</w:t>
      </w:r>
      <w:r>
        <w:rPr>
          <w:rFonts w:hint="eastAsia" w:ascii="仿宋_GB2312" w:hAnsi="Times New Roman" w:eastAsia="仿宋_GB2312" w:cs="DengXian-Regular"/>
          <w:color w:val="000000" w:themeColor="text1"/>
          <w:sz w:val="32"/>
          <w:szCs w:val="32"/>
          <w14:textFill>
            <w14:solidFill>
              <w14:schemeClr w14:val="tx1"/>
            </w14:solidFill>
          </w14:textFill>
        </w:rPr>
        <w:t>2019年度</w:t>
      </w:r>
      <w:r>
        <w:rPr>
          <w:rFonts w:hint="eastAsia" w:ascii="仿宋_GB2312" w:hAnsi="Times New Roman" w:eastAsia="仿宋_GB2312" w:cs="DengXian-Regular"/>
          <w:color w:val="000000" w:themeColor="text1"/>
          <w:sz w:val="32"/>
          <w:szCs w:val="32"/>
          <w14:textFill>
            <w14:solidFill>
              <w14:schemeClr w14:val="tx1"/>
            </w14:solidFill>
          </w14:textFill>
        </w:rPr>
        <w:t>因公出国（境）团组</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个、共</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人/参加其他单位组织的因公出国（境）团组</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个、共</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人/无本单位组织的出国（境）团组。</w:t>
      </w:r>
      <w:r>
        <w:rPr>
          <w:rFonts w:hint="eastAsia" w:ascii="仿宋_GB2312" w:hAnsi="Times New Roman" w:eastAsia="仿宋_GB2312" w:cs="DengXian-Regular"/>
          <w:color w:val="000000" w:themeColor="text1"/>
          <w:sz w:val="32"/>
          <w:szCs w:val="32"/>
          <w14:textFill>
            <w14:solidFill>
              <w14:schemeClr w14:val="tx1"/>
            </w14:solidFill>
          </w14:textFill>
        </w:rPr>
        <w:t>因公出国（境）费支出较年初预算无增减；较2018年度决算无增减变化。</w:t>
      </w:r>
    </w:p>
    <w:p>
      <w:pPr>
        <w:adjustRightInd w:val="0"/>
        <w:snapToGrid w:val="0"/>
        <w:spacing w:line="580" w:lineRule="exact"/>
        <w:ind w:firstLine="643" w:firstLineChars="200"/>
        <w:rPr>
          <w:rFonts w:ascii="仿宋_GB2312" w:hAnsi="Times New Roman" w:eastAsia="仿宋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（二）公务用车购置及运行维护费支出6.08万元。</w:t>
      </w:r>
      <w:r>
        <w:rPr>
          <w:rFonts w:hint="eastAsia" w:ascii="仿宋_GB2312" w:hAnsi="Times New Roman" w:eastAsia="仿宋_GB2312" w:cs="DengXian-Regular"/>
          <w:color w:val="000000" w:themeColor="text1"/>
          <w:sz w:val="32"/>
          <w:szCs w:val="32"/>
          <w14:textFill>
            <w14:solidFill>
              <w14:schemeClr w14:val="tx1"/>
            </w14:solidFill>
          </w14:textFill>
        </w:rPr>
        <w:t>本部门2019年度公务用车购置及运行维护费较预算减少2.12万元，降低25.85%,主要是</w:t>
      </w:r>
      <w:r>
        <w:rPr>
          <w:rFonts w:hint="eastAsia" w:ascii="仿宋_GB2312" w:eastAsia="仿宋_GB2312" w:cs="DengXian-Regular"/>
          <w:sz w:val="32"/>
          <w:szCs w:val="32"/>
        </w:rPr>
        <w:t>公车改革后，公车出行受限，公务用车运行维护费支出降低</w:t>
      </w:r>
      <w:r>
        <w:rPr>
          <w:rFonts w:hint="eastAsia" w:ascii="仿宋_GB2312" w:hAnsi="Times New Roman" w:eastAsia="仿宋_GB2312" w:cs="DengXian-Regular"/>
          <w:color w:val="000000" w:themeColor="text1"/>
          <w:sz w:val="32"/>
          <w:szCs w:val="32"/>
          <w14:textFill>
            <w14:solidFill>
              <w14:schemeClr w14:val="tx1"/>
            </w14:solidFill>
          </w14:textFill>
        </w:rPr>
        <w:t>；较上年增加1.61万元，</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增长</w:t>
      </w:r>
      <w:r>
        <w:rPr>
          <w:rFonts w:hint="eastAsia" w:ascii="仿宋_GB2312" w:hAnsi="Times New Roman" w:eastAsia="仿宋_GB2312" w:cs="DengXian-Regular"/>
          <w:color w:val="000000" w:themeColor="text1"/>
          <w:sz w:val="32"/>
          <w:szCs w:val="32"/>
          <w14:textFill>
            <w14:solidFill>
              <w14:schemeClr w14:val="tx1"/>
            </w14:solidFill>
          </w14:textFill>
        </w:rPr>
        <w:t>36.12%,主要是</w:t>
      </w:r>
      <w:r>
        <w:rPr>
          <w:rFonts w:hint="eastAsia" w:eastAsia="仿宋_GB2312"/>
          <w:sz w:val="32"/>
          <w:szCs w:val="32"/>
          <w:lang w:val="en-US" w:eastAsia="zh-CN"/>
        </w:rPr>
        <w:t>本年燃油及修理费包含上年近5个月的支出，故增多</w:t>
      </w:r>
      <w:r>
        <w:rPr>
          <w:rFonts w:hint="eastAsia" w:ascii="仿宋_GB2312" w:hAnsi="Times New Roman" w:eastAsia="仿宋_GB2312" w:cs="DengXian-Regular"/>
          <w:color w:val="000000" w:themeColor="text1"/>
          <w:sz w:val="32"/>
          <w:szCs w:val="32"/>
          <w14:textFill>
            <w14:solidFill>
              <w14:schemeClr w14:val="tx1"/>
            </w14:solidFill>
          </w14:textFill>
        </w:rPr>
        <w:t>。</w:t>
      </w:r>
      <w:r>
        <w:rPr>
          <w:rFonts w:hint="eastAsia" w:ascii="仿宋_GB2312" w:hAnsi="Times New Roman" w:eastAsia="仿宋_GB2312" w:cs="DengXian-Bold"/>
          <w:b/>
          <w:bCs/>
          <w:color w:val="000000" w:themeColor="text1"/>
          <w:sz w:val="32"/>
          <w:szCs w:val="32"/>
          <w14:textFill>
            <w14:solidFill>
              <w14:schemeClr w14:val="tx1"/>
            </w14:solidFill>
          </w14:textFill>
        </w:rPr>
        <w:t>其中：</w:t>
      </w:r>
    </w:p>
    <w:p>
      <w:pPr>
        <w:adjustRightInd w:val="0"/>
        <w:snapToGrid w:val="0"/>
        <w:spacing w:line="580" w:lineRule="exact"/>
        <w:ind w:firstLine="643"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b/>
          <w:color w:val="000000" w:themeColor="text1"/>
          <w:sz w:val="32"/>
          <w:szCs w:val="32"/>
          <w14:textFill>
            <w14:solidFill>
              <w14:schemeClr w14:val="tx1"/>
            </w14:solidFill>
          </w14:textFill>
        </w:rPr>
        <w:t>公务用车购置费：</w:t>
      </w:r>
      <w:r>
        <w:rPr>
          <w:rFonts w:hint="eastAsia" w:ascii="仿宋_GB2312" w:hAnsi="Times New Roman" w:eastAsia="仿宋_GB2312" w:cs="DengXian-Regular"/>
          <w:color w:val="000000" w:themeColor="text1"/>
          <w:sz w:val="32"/>
          <w:szCs w:val="32"/>
          <w14:textFill>
            <w14:solidFill>
              <w14:schemeClr w14:val="tx1"/>
            </w14:solidFill>
          </w14:textFill>
        </w:rPr>
        <w:t>本部门2019年度公务用车购置量</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辆，发生“公务用车购置”经费支出</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万元。公务用车购置费支出</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较</w:t>
      </w:r>
      <w:r>
        <w:rPr>
          <w:rFonts w:hint="eastAsia" w:ascii="仿宋_GB2312" w:hAnsi="Times New Roman" w:eastAsia="仿宋_GB2312" w:cs="DengXian-Regular"/>
          <w:color w:val="000000" w:themeColor="text1"/>
          <w:sz w:val="32"/>
          <w:szCs w:val="32"/>
          <w14:textFill>
            <w14:solidFill>
              <w14:schemeClr w14:val="tx1"/>
            </w14:solidFill>
          </w14:textFill>
        </w:rPr>
        <w:t>年初预算</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无增减变化</w:t>
      </w:r>
      <w:r>
        <w:rPr>
          <w:rFonts w:hint="eastAsia" w:ascii="仿宋_GB2312" w:hAnsi="Times New Roman" w:eastAsia="仿宋_GB2312" w:cs="DengXian-Regular"/>
          <w:color w:val="000000" w:themeColor="text1"/>
          <w:sz w:val="32"/>
          <w:szCs w:val="32"/>
          <w14:textFill>
            <w14:solidFill>
              <w14:schemeClr w14:val="tx1"/>
            </w14:solidFill>
          </w14:textFill>
        </w:rPr>
        <w:t>；</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较</w:t>
      </w:r>
      <w:r>
        <w:rPr>
          <w:rFonts w:hint="eastAsia" w:ascii="仿宋_GB2312" w:hAnsi="Times New Roman" w:eastAsia="仿宋_GB2312" w:cs="DengXian-Regular"/>
          <w:color w:val="000000" w:themeColor="text1"/>
          <w:sz w:val="32"/>
          <w:szCs w:val="32"/>
          <w:lang w:eastAsia="zh-CN"/>
          <w14:textFill>
            <w14:solidFill>
              <w14:schemeClr w14:val="tx1"/>
            </w14:solidFill>
          </w14:textFill>
        </w:rPr>
        <w:t>2018</w:t>
      </w:r>
      <w:r>
        <w:rPr>
          <w:rFonts w:hint="eastAsia" w:ascii="仿宋_GB2312" w:hAnsi="Times New Roman" w:eastAsia="仿宋_GB2312" w:cs="DengXian-Regular"/>
          <w:color w:val="000000" w:themeColor="text1"/>
          <w:sz w:val="32"/>
          <w:szCs w:val="32"/>
          <w14:textFill>
            <w14:solidFill>
              <w14:schemeClr w14:val="tx1"/>
            </w14:solidFill>
          </w14:textFill>
        </w:rPr>
        <w:t>年度决算</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无增减变化</w:t>
      </w:r>
      <w:r>
        <w:rPr>
          <w:rFonts w:hint="eastAsia" w:ascii="仿宋_GB2312" w:hAnsi="Times New Roman" w:eastAsia="仿宋_GB2312" w:cs="DengXian-Regular"/>
          <w:color w:val="000000" w:themeColor="text1"/>
          <w:sz w:val="32"/>
          <w:szCs w:val="32"/>
          <w14:textFill>
            <w14:solidFill>
              <w14:schemeClr w14:val="tx1"/>
            </w14:solidFill>
          </w14:textFill>
        </w:rPr>
        <w:t>。</w:t>
      </w:r>
    </w:p>
    <w:p>
      <w:pPr>
        <w:adjustRightInd w:val="0"/>
        <w:snapToGrid w:val="0"/>
        <w:spacing w:line="580" w:lineRule="exact"/>
        <w:ind w:firstLine="643"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b/>
          <w:color w:val="000000" w:themeColor="text1"/>
          <w:sz w:val="32"/>
          <w:szCs w:val="32"/>
          <w14:textFill>
            <w14:solidFill>
              <w14:schemeClr w14:val="tx1"/>
            </w14:solidFill>
          </w14:textFill>
        </w:rPr>
        <w:t>公务用车运行维护费：</w:t>
      </w:r>
      <w:r>
        <w:rPr>
          <w:rFonts w:hint="eastAsia" w:ascii="仿宋_GB2312" w:hAnsi="Times New Roman" w:eastAsia="仿宋_GB2312" w:cs="DengXian-Regular"/>
          <w:color w:val="000000" w:themeColor="text1"/>
          <w:sz w:val="32"/>
          <w:szCs w:val="32"/>
          <w14:textFill>
            <w14:solidFill>
              <w14:schemeClr w14:val="tx1"/>
            </w14:solidFill>
          </w14:textFill>
        </w:rPr>
        <w:t>本部门2019年度单位公务用车保有量</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6</w:t>
      </w:r>
      <w:r>
        <w:rPr>
          <w:rFonts w:hint="eastAsia" w:ascii="仿宋_GB2312" w:hAnsi="Times New Roman" w:eastAsia="仿宋_GB2312" w:cs="DengXian-Regular"/>
          <w:color w:val="000000" w:themeColor="text1"/>
          <w:sz w:val="32"/>
          <w:szCs w:val="32"/>
          <w14:textFill>
            <w14:solidFill>
              <w14:schemeClr w14:val="tx1"/>
            </w14:solidFill>
          </w14:textFill>
        </w:rPr>
        <w:t>辆。公车运行维护费支出较预算减少2.12万元，降低25.85%,主要是</w:t>
      </w:r>
      <w:r>
        <w:rPr>
          <w:rFonts w:hint="eastAsia" w:ascii="仿宋_GB2312" w:eastAsia="仿宋_GB2312" w:cs="DengXian-Regular"/>
          <w:sz w:val="32"/>
          <w:szCs w:val="32"/>
        </w:rPr>
        <w:t>公车改革后，公车出行受限，公务用车运行维护费支出降低</w:t>
      </w:r>
      <w:r>
        <w:rPr>
          <w:rFonts w:hint="eastAsia" w:ascii="仿宋_GB2312" w:hAnsi="Times New Roman" w:eastAsia="仿宋_GB2312" w:cs="DengXian-Regular"/>
          <w:color w:val="000000" w:themeColor="text1"/>
          <w:sz w:val="32"/>
          <w:szCs w:val="32"/>
          <w14:textFill>
            <w14:solidFill>
              <w14:schemeClr w14:val="tx1"/>
            </w14:solidFill>
          </w14:textFill>
        </w:rPr>
        <w:t>；较上年增加1.61万元，增长36.12%，主要是本年燃油及修理费包含上年近5个月的支出，故增多。</w:t>
      </w:r>
    </w:p>
    <w:p>
      <w:pPr>
        <w:adjustRightInd w:val="0"/>
        <w:snapToGrid w:val="0"/>
        <w:spacing w:line="580" w:lineRule="exact"/>
        <w:ind w:firstLine="643"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（三）公务接待费支出</w:t>
      </w:r>
      <w:r>
        <w:rPr>
          <w:rFonts w:hint="eastAsia" w:ascii="楷体_GB2312" w:hAnsi="Times New Roman" w:eastAsia="楷体_GB2312" w:cs="DengXian-Bold"/>
          <w:b/>
          <w:bCs/>
          <w:color w:val="000000" w:themeColor="text1"/>
          <w:sz w:val="32"/>
          <w:szCs w:val="32"/>
          <w:lang w:val="en-US" w:eastAsia="zh-CN"/>
          <w14:textFill>
            <w14:solidFill>
              <w14:schemeClr w14:val="tx1"/>
            </w14:solidFill>
          </w14:textFill>
        </w:rPr>
        <w:t>0</w:t>
      </w:r>
      <w:r>
        <w:rPr>
          <w:rFonts w:hint="eastAsia" w:ascii="楷体_GB2312" w:hAnsi="Times New Roman" w:eastAsia="楷体_GB2312" w:cs="DengXian-Bold"/>
          <w:b/>
          <w:bCs/>
          <w:color w:val="000000" w:themeColor="text1"/>
          <w:sz w:val="32"/>
          <w:szCs w:val="32"/>
          <w14:textFill>
            <w14:solidFill>
              <w14:schemeClr w14:val="tx1"/>
            </w14:solidFill>
          </w14:textFill>
        </w:rPr>
        <w:t>万元。</w:t>
      </w:r>
      <w:r>
        <w:rPr>
          <w:rFonts w:hint="eastAsia" w:ascii="仿宋_GB2312" w:hAnsi="Times New Roman" w:eastAsia="仿宋_GB2312" w:cs="DengXian-Regular"/>
          <w:color w:val="000000" w:themeColor="text1"/>
          <w:sz w:val="32"/>
          <w:szCs w:val="32"/>
          <w14:textFill>
            <w14:solidFill>
              <w14:schemeClr w14:val="tx1"/>
            </w14:solidFill>
          </w14:textFill>
        </w:rPr>
        <w:t>本部门2019年度公务接待共</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批次、</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人次。</w:t>
      </w:r>
      <w:r>
        <w:rPr>
          <w:rFonts w:hint="eastAsia" w:ascii="仿宋_GB2312" w:hAnsi="Times New Roman" w:eastAsia="仿宋_GB2312" w:cs="DengXian-Regular"/>
          <w:color w:val="000000" w:themeColor="text1"/>
          <w:sz w:val="32"/>
          <w:szCs w:val="32"/>
          <w14:textFill>
            <w14:solidFill>
              <w14:schemeClr w14:val="tx1"/>
            </w14:solidFill>
          </w14:textFill>
        </w:rPr>
        <w:t>公务接待费支出较预算减少0.32万元，降低</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100</w:t>
      </w:r>
      <w:r>
        <w:rPr>
          <w:rFonts w:hint="eastAsia" w:ascii="仿宋_GB2312" w:hAnsi="Times New Roman" w:eastAsia="仿宋_GB2312" w:cs="DengXian-Regular"/>
          <w:color w:val="000000" w:themeColor="text1"/>
          <w:sz w:val="32"/>
          <w:szCs w:val="32"/>
          <w14:textFill>
            <w14:solidFill>
              <w14:schemeClr w14:val="tx1"/>
            </w14:solidFill>
          </w14:textFill>
        </w:rPr>
        <w:t>%,主要是</w:t>
      </w:r>
      <w:r>
        <w:rPr>
          <w:rFonts w:hint="eastAsia" w:eastAsia="仿宋_GB2312"/>
          <w:sz w:val="32"/>
          <w:szCs w:val="32"/>
          <w:lang w:val="en-US" w:eastAsia="zh-CN"/>
        </w:rPr>
        <w:t>未发生公务接待的事项</w:t>
      </w:r>
      <w:r>
        <w:rPr>
          <w:rFonts w:hint="eastAsia" w:ascii="仿宋_GB2312" w:hAnsi="Times New Roman" w:eastAsia="仿宋_GB2312" w:cs="DengXian-Regular"/>
          <w:color w:val="000000" w:themeColor="text1"/>
          <w:sz w:val="32"/>
          <w:szCs w:val="32"/>
          <w14:textFill>
            <w14:solidFill>
              <w14:schemeClr w14:val="tx1"/>
            </w14:solidFill>
          </w14:textFill>
        </w:rPr>
        <w:t>；较上年度减少0.34万元，降低</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100</w:t>
      </w:r>
      <w:r>
        <w:rPr>
          <w:rFonts w:hint="eastAsia" w:ascii="仿宋_GB2312" w:hAnsi="Times New Roman" w:eastAsia="仿宋_GB2312" w:cs="DengXian-Regular"/>
          <w:color w:val="000000" w:themeColor="text1"/>
          <w:sz w:val="32"/>
          <w:szCs w:val="32"/>
          <w14:textFill>
            <w14:solidFill>
              <w14:schemeClr w14:val="tx1"/>
            </w14:solidFill>
          </w14:textFill>
        </w:rPr>
        <w:t>%,</w:t>
      </w:r>
      <w:r>
        <w:rPr>
          <w:rFonts w:eastAsia="仿宋_GB2312"/>
          <w:sz w:val="32"/>
          <w:szCs w:val="32"/>
        </w:rPr>
        <w:t>主要是</w:t>
      </w:r>
      <w:r>
        <w:rPr>
          <w:rFonts w:hint="eastAsia" w:eastAsia="仿宋_GB2312"/>
          <w:sz w:val="32"/>
          <w:szCs w:val="32"/>
          <w:lang w:val="en-US" w:eastAsia="zh-CN"/>
        </w:rPr>
        <w:t>厉行节约，未公款接待</w:t>
      </w:r>
      <w:r>
        <w:rPr>
          <w:rFonts w:hint="eastAsia" w:ascii="仿宋_GB2312" w:hAnsi="Times New Roman" w:eastAsia="仿宋_GB2312" w:cs="DengXian-Regular"/>
          <w:color w:val="000000" w:themeColor="text1"/>
          <w:sz w:val="32"/>
          <w:szCs w:val="32"/>
          <w14:textFill>
            <w14:solidFill>
              <w14:schemeClr w14:val="tx1"/>
            </w14:solidFill>
          </w14:textFill>
        </w:rPr>
        <w:t>。</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六、其他重要事项的说明</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（一）机关运行经费情况</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本部门2019年度机关运行经费支出</w:t>
      </w:r>
      <w:r>
        <w:rPr>
          <w:rFonts w:hint="eastAsia" w:ascii="仿宋_GB2312" w:eastAsia="仿宋_GB2312" w:cs="DengXian-Regular"/>
          <w:sz w:val="32"/>
          <w:szCs w:val="32"/>
          <w:lang w:val="en-US" w:eastAsia="zh-CN"/>
        </w:rPr>
        <w:t>87.15</w:t>
      </w:r>
      <w:r>
        <w:rPr>
          <w:rFonts w:hint="eastAsia" w:ascii="仿宋_GB2312" w:hAnsi="Times New Roman" w:eastAsia="仿宋_GB2312" w:cs="DengXian-Regular"/>
          <w:color w:val="000000" w:themeColor="text1"/>
          <w:sz w:val="32"/>
          <w:szCs w:val="32"/>
          <w14:textFill>
            <w14:solidFill>
              <w14:schemeClr w14:val="tx1"/>
            </w14:solidFill>
          </w14:textFill>
        </w:rPr>
        <w:t>万元，比2018年度减少5.77万元，降低6.21%。主要原因是</w:t>
      </w:r>
      <w:r>
        <w:rPr>
          <w:rFonts w:hint="eastAsia" w:ascii="仿宋_GB2312" w:eastAsia="仿宋_GB2312" w:cs="DengXian-Regular"/>
          <w:sz w:val="32"/>
          <w:szCs w:val="32"/>
          <w:lang w:val="en-US" w:eastAsia="zh-CN"/>
        </w:rPr>
        <w:t>厉行节约，缩减不必要的开支</w:t>
      </w:r>
      <w:r>
        <w:rPr>
          <w:rFonts w:hint="eastAsia" w:ascii="仿宋_GB2312" w:hAnsi="Times New Roman" w:eastAsia="仿宋_GB2312" w:cs="DengXian-Regular"/>
          <w:color w:val="000000" w:themeColor="text1"/>
          <w:sz w:val="32"/>
          <w:szCs w:val="32"/>
          <w14:textFill>
            <w14:solidFill>
              <w14:schemeClr w14:val="tx1"/>
            </w14:solidFill>
          </w14:textFill>
        </w:rPr>
        <w:t>。</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（二）政府采购情况</w:t>
      </w:r>
    </w:p>
    <w:p>
      <w:pPr>
        <w:keepNext/>
        <w:keepLines/>
        <w:snapToGrid w:val="0"/>
        <w:spacing w:line="580" w:lineRule="exact"/>
        <w:ind w:firstLine="640" w:firstLineChars="200"/>
        <w:outlineLvl w:val="2"/>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本部门2019年度政府采购支出总额</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万元，从采购类型来看，</w:t>
      </w:r>
      <w:r>
        <w:rPr>
          <w:rFonts w:ascii="仿宋_GB2312" w:hAnsi="仿宋_GB2312" w:eastAsia="仿宋_GB2312" w:cs="仿宋_GB2312"/>
          <w:color w:val="000000" w:themeColor="text1"/>
          <w:kern w:val="0"/>
          <w:sz w:val="32"/>
          <w:szCs w:val="32"/>
          <w:lang w:bidi="ar"/>
          <w14:textFill>
            <w14:solidFill>
              <w14:schemeClr w14:val="tx1"/>
            </w14:solidFill>
          </w14:textFill>
        </w:rPr>
        <w:t>政府采购货物支出</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 xml:space="preserve"> 万元、政府采购工程支出</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 xml:space="preserve">万元、政府采购服务支出 </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万元。授予中小企业合同金</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万元，占政府采购支出总额的</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w:t>
      </w:r>
      <w:r>
        <w:rPr>
          <w:rFonts w:ascii="仿宋_GB2312" w:hAnsi="仿宋_GB2312" w:eastAsia="仿宋_GB2312" w:cs="仿宋_GB2312"/>
          <w:color w:val="000000" w:themeColor="text1"/>
          <w:kern w:val="0"/>
          <w:sz w:val="32"/>
          <w:szCs w:val="32"/>
          <w:lang w:bidi="ar"/>
          <w14:textFill>
            <w14:solidFill>
              <w14:schemeClr w14:val="tx1"/>
            </w14:solidFill>
          </w14:textFill>
        </w:rPr>
        <w:t>其中授予小微企业合同金额</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 xml:space="preserve">万元，占政府采购支出总额的 </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bookmarkStart w:id="0" w:name="_GoBack"/>
      <w:bookmarkEnd w:id="0"/>
      <w:r>
        <w:rPr>
          <w:rFonts w:hint="eastAsia" w:ascii="楷体_GB2312" w:hAnsi="Times New Roman" w:eastAsia="楷体_GB2312" w:cs="DengXian-Bold"/>
          <w:b/>
          <w:bCs/>
          <w:color w:val="000000" w:themeColor="text1"/>
          <w:sz w:val="32"/>
          <w:szCs w:val="32"/>
          <w14:textFill>
            <w14:solidFill>
              <w14:schemeClr w14:val="tx1"/>
            </w14:solidFill>
          </w14:textFill>
        </w:rPr>
        <w:t>（三）国有资产占用情况</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截至2019年12月31日，本部门共有车辆</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6</w:t>
      </w:r>
      <w:r>
        <w:rPr>
          <w:rFonts w:hint="eastAsia" w:ascii="仿宋_GB2312" w:hAnsi="Times New Roman" w:eastAsia="仿宋_GB2312" w:cs="DengXian-Regular"/>
          <w:color w:val="000000" w:themeColor="text1"/>
          <w:sz w:val="32"/>
          <w:szCs w:val="32"/>
          <w14:textFill>
            <w14:solidFill>
              <w14:schemeClr w14:val="tx1"/>
            </w14:solidFill>
          </w14:textFill>
        </w:rPr>
        <w:t>辆，</w:t>
      </w:r>
      <w:r>
        <w:rPr>
          <w:rFonts w:hint="eastAsia" w:ascii="仿宋_GB2312" w:eastAsia="仿宋_GB2312" w:cs="DengXian-Regular"/>
          <w:sz w:val="32"/>
          <w:szCs w:val="32"/>
          <w:lang w:val="en-US" w:eastAsia="zh-CN"/>
        </w:rPr>
        <w:t>较</w:t>
      </w:r>
      <w:r>
        <w:rPr>
          <w:rFonts w:hint="eastAsia" w:ascii="仿宋_GB2312" w:eastAsia="仿宋_GB2312" w:cs="DengXian-Regular"/>
          <w:sz w:val="32"/>
          <w:szCs w:val="32"/>
        </w:rPr>
        <w:t>上年</w:t>
      </w:r>
      <w:r>
        <w:rPr>
          <w:rFonts w:hint="eastAsia" w:ascii="仿宋_GB2312" w:eastAsia="仿宋_GB2312" w:cs="DengXian-Regular"/>
          <w:sz w:val="32"/>
          <w:szCs w:val="32"/>
          <w:lang w:val="en-US" w:eastAsia="zh-CN"/>
        </w:rPr>
        <w:t>无增减变化。</w:t>
      </w:r>
      <w:r>
        <w:rPr>
          <w:rFonts w:hint="eastAsia" w:ascii="仿宋_GB2312" w:hAnsi="Times New Roman" w:eastAsia="仿宋_GB2312" w:cs="DengXian-Regular"/>
          <w:color w:val="000000" w:themeColor="text1"/>
          <w:sz w:val="32"/>
          <w:szCs w:val="32"/>
          <w14:textFill>
            <w14:solidFill>
              <w14:schemeClr w14:val="tx1"/>
            </w14:solidFill>
          </w14:textFill>
        </w:rPr>
        <w:t>其中，机要通信用车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w:t>
      </w:r>
      <w:r>
        <w:rPr>
          <w:rFonts w:hint="eastAsia" w:ascii="仿宋_GB2312" w:hAnsi="Times New Roman" w:eastAsia="仿宋_GB2312" w:cs="DengXian-Regular"/>
          <w:color w:val="000000" w:themeColor="text1"/>
          <w:sz w:val="32"/>
          <w:szCs w:val="32"/>
          <w14:textFill>
            <w14:solidFill>
              <w14:schemeClr w14:val="tx1"/>
            </w14:solidFill>
          </w14:textFill>
        </w:rPr>
        <w:t>辆，执法执勤用车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5</w:t>
      </w:r>
      <w:r>
        <w:rPr>
          <w:rFonts w:hint="eastAsia" w:ascii="仿宋_GB2312" w:hAnsi="Times New Roman" w:eastAsia="仿宋_GB2312" w:cs="DengXian-Regular"/>
          <w:color w:val="000000" w:themeColor="text1"/>
          <w:sz w:val="32"/>
          <w:szCs w:val="32"/>
          <w14:textFill>
            <w14:solidFill>
              <w14:schemeClr w14:val="tx1"/>
            </w14:solidFill>
          </w14:textFill>
        </w:rPr>
        <w:t>辆；</w:t>
      </w:r>
    </w:p>
    <w:p>
      <w:pPr>
        <w:adjustRightInd w:val="0"/>
        <w:snapToGrid w:val="0"/>
        <w:spacing w:line="580" w:lineRule="exact"/>
        <w:ind w:firstLine="640" w:firstLine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仿宋_GB2312" w:eastAsia="仿宋_GB2312" w:cs="DengXian-Regular"/>
          <w:sz w:val="32"/>
          <w:szCs w:val="32"/>
        </w:rPr>
        <w:t>单位</w:t>
      </w:r>
      <w:r>
        <w:rPr>
          <w:rFonts w:hint="eastAsia" w:ascii="仿宋_GB2312" w:eastAsia="仿宋_GB2312" w:cs="DengXian-Regular"/>
          <w:sz w:val="32"/>
          <w:szCs w:val="32"/>
          <w:lang w:val="en-US" w:eastAsia="zh-CN"/>
        </w:rPr>
        <w:t>无</w:t>
      </w:r>
      <w:r>
        <w:rPr>
          <w:rFonts w:hint="eastAsia" w:ascii="仿宋_GB2312" w:eastAsia="仿宋_GB2312" w:cs="DengXian-Regular"/>
          <w:sz w:val="32"/>
          <w:szCs w:val="32"/>
        </w:rPr>
        <w:t>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和</w:t>
      </w:r>
      <w:r>
        <w:rPr>
          <w:rFonts w:hint="eastAsia" w:ascii="仿宋_GB2312" w:eastAsia="仿宋_GB2312" w:cs="DengXian-Regular"/>
          <w:sz w:val="32"/>
          <w:szCs w:val="32"/>
        </w:rPr>
        <w:t>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较</w:t>
      </w:r>
      <w:r>
        <w:rPr>
          <w:rFonts w:hint="eastAsia" w:ascii="仿宋_GB2312" w:eastAsia="仿宋_GB2312" w:cs="DengXian-Regular"/>
          <w:sz w:val="32"/>
          <w:szCs w:val="32"/>
        </w:rPr>
        <w:t>上年</w:t>
      </w:r>
      <w:r>
        <w:rPr>
          <w:rFonts w:hint="eastAsia" w:ascii="仿宋_GB2312" w:eastAsia="仿宋_GB2312" w:cs="DengXian-Regular"/>
          <w:sz w:val="32"/>
          <w:szCs w:val="32"/>
          <w:lang w:val="en-US" w:eastAsia="zh-CN"/>
        </w:rPr>
        <w:t>无增减变化</w:t>
      </w:r>
      <w:r>
        <w:rPr>
          <w:rFonts w:hint="eastAsia" w:ascii="仿宋_GB2312" w:hAnsi="Times New Roman" w:eastAsia="仿宋_GB2312" w:cs="DengXian-Regular"/>
          <w:color w:val="000000" w:themeColor="text1"/>
          <w:sz w:val="32"/>
          <w:szCs w:val="32"/>
          <w14:textFill>
            <w14:solidFill>
              <w14:schemeClr w14:val="tx1"/>
            </w14:solidFill>
          </w14:textFill>
        </w:rPr>
        <w:t>。</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（四）其他需要说明的情况</w:t>
      </w: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1. 本部门2019年度</w:t>
      </w:r>
      <w:r>
        <w:rPr>
          <w:rFonts w:hint="eastAsia" w:ascii="仿宋_GB2312" w:eastAsia="仿宋_GB2312" w:cs="DengXian-Regular"/>
          <w:sz w:val="32"/>
          <w:szCs w:val="32"/>
        </w:rPr>
        <w:t>无政府性基金预算财政拨款收支及结转结余情况</w:t>
      </w:r>
      <w:r>
        <w:rPr>
          <w:rFonts w:hint="eastAsia" w:ascii="仿宋_GB2312" w:eastAsia="仿宋_GB2312" w:cs="DengXian-Regular"/>
          <w:sz w:val="32"/>
          <w:szCs w:val="32"/>
          <w:lang w:eastAsia="zh-CN"/>
        </w:rPr>
        <w:t>、无国有资本经营预算财政拨款支出情况、无政府采购情况</w:t>
      </w:r>
      <w:r>
        <w:rPr>
          <w:rFonts w:hint="eastAsia" w:ascii="仿宋_GB2312" w:eastAsia="仿宋_GB2312" w:cs="DengXian-Regular"/>
          <w:sz w:val="32"/>
          <w:szCs w:val="32"/>
        </w:rPr>
        <w:t>，故政府性基金预算财政拨款收入支出决算表</w:t>
      </w:r>
      <w:r>
        <w:rPr>
          <w:rFonts w:hint="eastAsia" w:ascii="仿宋_GB2312" w:eastAsia="仿宋_GB2312" w:cs="DengXian-Regular"/>
          <w:sz w:val="32"/>
          <w:szCs w:val="32"/>
          <w:lang w:eastAsia="zh-CN"/>
        </w:rPr>
        <w:t>、国有资本经营预算财政拨款支出决算表、政府采购情况表</w:t>
      </w:r>
      <w:r>
        <w:rPr>
          <w:rFonts w:hint="eastAsia" w:ascii="仿宋_GB2312" w:eastAsia="仿宋_GB2312" w:cs="DengXian-Regular"/>
          <w:sz w:val="32"/>
          <w:szCs w:val="32"/>
        </w:rPr>
        <w:t>以空表列示。</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color w:val="000000" w:themeColor="text1"/>
          <w:kern w:val="0"/>
          <w:sz w:val="44"/>
          <w:szCs w:val="44"/>
          <w14:textFill>
            <w14:solidFill>
              <w14:schemeClr w14:val="tx1"/>
            </w14:solidFill>
          </w14:textFill>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color w:val="000000" w:themeColor="text1"/>
          <w:sz w:val="56"/>
          <w:szCs w:val="72"/>
          <w14:textFill>
            <w14:solidFill>
              <w14:schemeClr w14:val="tx1"/>
            </w14:solidFill>
          </w14:textFill>
        </w:rPr>
        <w:sectPr>
          <w:headerReference r:id="rId16" w:type="first"/>
          <w:footerReference r:id="rId18" w:type="first"/>
          <w:headerReference r:id="rId15" w:type="default"/>
          <w:footerReference r:id="rId17"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color w:val="000000" w:themeColor="text1"/>
          <w:sz w:val="56"/>
          <w:szCs w:val="72"/>
          <w14:textFill>
            <w14:solidFill>
              <w14:schemeClr w14:val="tx1"/>
            </w14:solidFill>
          </w14:textFill>
        </w:rPr>
        <w:br w:type="page"/>
      </w:r>
    </w:p>
    <w:p>
      <w:pP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30"/>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sectPr>
          <w:headerReference r:id="rId19"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（一）财政拨款收入：</w:t>
      </w:r>
      <w:r>
        <w:rPr>
          <w:rFonts w:hint="eastAsia" w:ascii="仿宋_GB2312" w:hAnsi="宋体" w:eastAsia="仿宋_GB2312" w:cs="Times New Roman"/>
          <w:color w:val="000000" w:themeColor="text1"/>
          <w:kern w:val="0"/>
          <w:sz w:val="32"/>
          <w:szCs w:val="32"/>
          <w14:textFill>
            <w14:solidFill>
              <w14:schemeClr w14:val="tx1"/>
            </w14:solidFill>
          </w14:textFill>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（二）事业收入：</w:t>
      </w:r>
      <w:r>
        <w:rPr>
          <w:rFonts w:hint="eastAsia" w:ascii="仿宋_GB2312" w:hAnsi="宋体" w:eastAsia="仿宋_GB2312" w:cs="Times New Roman"/>
          <w:color w:val="000000" w:themeColor="text1"/>
          <w:kern w:val="0"/>
          <w:sz w:val="32"/>
          <w:szCs w:val="32"/>
          <w14:textFill>
            <w14:solidFill>
              <w14:schemeClr w14:val="tx1"/>
            </w14:solidFill>
          </w14:textFill>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（三）其他收入：</w:t>
      </w:r>
      <w:r>
        <w:rPr>
          <w:rFonts w:hint="eastAsia" w:ascii="仿宋_GB2312" w:hAnsi="宋体" w:eastAsia="仿宋_GB2312" w:cs="Times New Roman"/>
          <w:color w:val="000000" w:themeColor="text1"/>
          <w:kern w:val="0"/>
          <w:sz w:val="32"/>
          <w:szCs w:val="32"/>
          <w14:textFill>
            <w14:solidFill>
              <w14:schemeClr w14:val="tx1"/>
            </w14:solidFill>
          </w14:textFill>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（四）用事业基金弥补收支差额：</w:t>
      </w:r>
      <w:r>
        <w:rPr>
          <w:rFonts w:hint="eastAsia" w:ascii="仿宋_GB2312" w:hAnsi="宋体" w:eastAsia="仿宋_GB2312" w:cs="Times New Roman"/>
          <w:color w:val="000000" w:themeColor="text1"/>
          <w:kern w:val="0"/>
          <w:sz w:val="32"/>
          <w:szCs w:val="32"/>
          <w14:textFill>
            <w14:solidFill>
              <w14:schemeClr w14:val="tx1"/>
            </w14:solidFill>
          </w14:textFill>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（五）年初结转和结余：</w:t>
      </w:r>
      <w:r>
        <w:rPr>
          <w:rFonts w:hint="eastAsia" w:ascii="仿宋_GB2312" w:hAnsi="宋体" w:eastAsia="仿宋_GB2312" w:cs="Times New Roman"/>
          <w:color w:val="000000" w:themeColor="text1"/>
          <w:kern w:val="0"/>
          <w:sz w:val="32"/>
          <w:szCs w:val="32"/>
          <w14:textFill>
            <w14:solidFill>
              <w14:schemeClr w14:val="tx1"/>
            </w14:solidFill>
          </w14:textFill>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（六）结余分配：</w:t>
      </w:r>
      <w:r>
        <w:rPr>
          <w:rFonts w:hint="eastAsia" w:ascii="仿宋_GB2312" w:hAnsi="宋体" w:eastAsia="仿宋_GB2312" w:cs="Times New Roman"/>
          <w:color w:val="000000" w:themeColor="text1"/>
          <w:kern w:val="0"/>
          <w:sz w:val="32"/>
          <w:szCs w:val="32"/>
          <w14:textFill>
            <w14:solidFill>
              <w14:schemeClr w14:val="tx1"/>
            </w14:solidFill>
          </w14:textFill>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（七）年末结转和结余：</w:t>
      </w:r>
      <w:r>
        <w:rPr>
          <w:rFonts w:hint="eastAsia" w:ascii="仿宋_GB2312" w:hAnsi="宋体" w:eastAsia="仿宋_GB2312" w:cs="Times New Roman"/>
          <w:color w:val="000000" w:themeColor="text1"/>
          <w:kern w:val="0"/>
          <w:sz w:val="32"/>
          <w:szCs w:val="32"/>
          <w14:textFill>
            <w14:solidFill>
              <w14:schemeClr w14:val="tx1"/>
            </w14:solidFill>
          </w14:textFill>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（八）基本支出：</w:t>
      </w:r>
      <w:r>
        <w:rPr>
          <w:rFonts w:hint="eastAsia" w:ascii="仿宋_GB2312" w:hAnsi="宋体" w:eastAsia="仿宋_GB2312" w:cs="Times New Roman"/>
          <w:color w:val="000000" w:themeColor="text1"/>
          <w:kern w:val="0"/>
          <w:sz w:val="32"/>
          <w:szCs w:val="32"/>
          <w14:textFill>
            <w14:solidFill>
              <w14:schemeClr w14:val="tx1"/>
            </w14:solidFill>
          </w14:textFill>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（九）项目支出：</w:t>
      </w:r>
      <w:r>
        <w:rPr>
          <w:rFonts w:hint="eastAsia" w:ascii="仿宋_GB2312" w:hAnsi="宋体" w:eastAsia="仿宋_GB2312" w:cs="Times New Roman"/>
          <w:color w:val="000000" w:themeColor="text1"/>
          <w:kern w:val="0"/>
          <w:sz w:val="32"/>
          <w:szCs w:val="32"/>
          <w14:textFill>
            <w14:solidFill>
              <w14:schemeClr w14:val="tx1"/>
            </w14:solidFill>
          </w14:textFill>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（十）基本建设支出：</w:t>
      </w:r>
      <w:r>
        <w:rPr>
          <w:rFonts w:hint="eastAsia" w:ascii="仿宋_GB2312" w:hAnsi="宋体" w:eastAsia="仿宋_GB2312" w:cs="Times New Roman"/>
          <w:color w:val="000000" w:themeColor="text1"/>
          <w:kern w:val="0"/>
          <w:sz w:val="32"/>
          <w:szCs w:val="32"/>
          <w14:textFill>
            <w14:solidFill>
              <w14:schemeClr w14:val="tx1"/>
            </w14:solidFill>
          </w14:textFill>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（十一）其他资本性支出：</w:t>
      </w:r>
      <w:r>
        <w:rPr>
          <w:rFonts w:hint="eastAsia" w:ascii="仿宋_GB2312" w:hAnsi="宋体" w:eastAsia="仿宋_GB2312" w:cs="Times New Roman"/>
          <w:color w:val="000000" w:themeColor="text1"/>
          <w:kern w:val="0"/>
          <w:sz w:val="32"/>
          <w:szCs w:val="32"/>
          <w14:textFill>
            <w14:solidFill>
              <w14:schemeClr w14:val="tx1"/>
            </w14:solidFill>
          </w14:textFill>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（十二）“三公”经费：</w:t>
      </w:r>
      <w:r>
        <w:rPr>
          <w:rFonts w:hint="eastAsia" w:ascii="仿宋_GB2312" w:hAnsi="宋体" w:eastAsia="仿宋_GB2312" w:cs="Times New Roman"/>
          <w:color w:val="000000" w:themeColor="text1"/>
          <w:kern w:val="0"/>
          <w:sz w:val="32"/>
          <w:szCs w:val="32"/>
          <w14:textFill>
            <w14:solidFill>
              <w14:schemeClr w14:val="tx1"/>
            </w14:solidFill>
          </w14:textFill>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（十三）其他交通费用：</w:t>
      </w:r>
      <w:r>
        <w:rPr>
          <w:rFonts w:hint="eastAsia" w:ascii="仿宋_GB2312" w:hAnsi="宋体" w:eastAsia="仿宋_GB2312" w:cs="Times New Roman"/>
          <w:color w:val="000000" w:themeColor="text1"/>
          <w:kern w:val="0"/>
          <w:sz w:val="32"/>
          <w:szCs w:val="32"/>
          <w14:textFill>
            <w14:solidFill>
              <w14:schemeClr w14:val="tx1"/>
            </w14:solidFill>
          </w14:textFill>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（十四）公务用车购置：</w:t>
      </w:r>
      <w:r>
        <w:rPr>
          <w:rFonts w:hint="eastAsia" w:ascii="仿宋_GB2312" w:hAnsi="宋体" w:eastAsia="仿宋_GB2312" w:cs="Times New Roman"/>
          <w:color w:val="000000" w:themeColor="text1"/>
          <w:kern w:val="0"/>
          <w:sz w:val="32"/>
          <w:szCs w:val="32"/>
          <w14:textFill>
            <w14:solidFill>
              <w14:schemeClr w14:val="tx1"/>
            </w14:solidFill>
          </w14:textFill>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（十五）其他交通工具购置：</w:t>
      </w:r>
      <w:r>
        <w:rPr>
          <w:rFonts w:hint="eastAsia" w:ascii="仿宋_GB2312" w:hAnsi="宋体" w:eastAsia="仿宋_GB2312" w:cs="Times New Roman"/>
          <w:color w:val="000000" w:themeColor="text1"/>
          <w:kern w:val="0"/>
          <w:sz w:val="32"/>
          <w:szCs w:val="32"/>
          <w14:textFill>
            <w14:solidFill>
              <w14:schemeClr w14:val="tx1"/>
            </w14:solidFill>
          </w14:textFill>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（十六）机关运行经费：</w:t>
      </w:r>
      <w:r>
        <w:rPr>
          <w:rFonts w:hint="eastAsia" w:ascii="仿宋_GB2312" w:hAnsi="宋体" w:eastAsia="仿宋_GB2312" w:cs="Times New Roman"/>
          <w:color w:val="000000" w:themeColor="text1"/>
          <w:kern w:val="0"/>
          <w:sz w:val="32"/>
          <w:szCs w:val="32"/>
          <w14:textFill>
            <w14:solidFill>
              <w14:schemeClr w14:val="tx1"/>
            </w14:solidFill>
          </w14:textFill>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（十七）经费形式:</w:t>
      </w:r>
      <w:r>
        <w:rPr>
          <w:rFonts w:hint="eastAsia" w:ascii="仿宋_GB2312" w:hAnsi="宋体" w:eastAsia="仿宋_GB2312" w:cs="Times New Roman"/>
          <w:color w:val="000000" w:themeColor="text1"/>
          <w:kern w:val="0"/>
          <w:sz w:val="32"/>
          <w:szCs w:val="32"/>
          <w14:textFill>
            <w14:solidFill>
              <w14:schemeClr w14:val="tx1"/>
            </w14:solidFill>
          </w14:textFill>
        </w:rPr>
        <w:t>按照经费来源，</w:t>
      </w:r>
      <w:r>
        <w:rPr>
          <w:rFonts w:hint="eastAsia" w:ascii="仿宋_GB2312" w:hAnsi="Cambria" w:eastAsia="仿宋_GB2312" w:cs="ArialUnicodeMS"/>
          <w:color w:val="000000" w:themeColor="text1"/>
          <w:kern w:val="0"/>
          <w:sz w:val="32"/>
          <w:szCs w:val="32"/>
          <w14:textFill>
            <w14:solidFill>
              <w14:schemeClr w14:val="tx1"/>
            </w14:solidFill>
          </w14:textFill>
        </w:rPr>
        <w:t>可分为财政拨款、财政性资金基本保证、财政性资金定额或定项补助、财政性资金零补助四类。</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20" w:type="default"/>
          <w:pgSz w:w="11906" w:h="16838"/>
          <w:pgMar w:top="2098" w:right="1474" w:bottom="1985" w:left="1588" w:header="851" w:footer="992" w:gutter="0"/>
          <w:pgNumType w:fmt="numberInDash"/>
          <w:cols w:space="425" w:num="1"/>
          <w:docGrid w:type="lines" w:linePitch="312" w:charSpace="0"/>
        </w:sect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21" w:type="default"/>
          <w:pgSz w:w="11906" w:h="16838"/>
          <w:pgMar w:top="2098" w:right="1474" w:bottom="1985" w:left="1588" w:header="851" w:footer="992" w:gutter="0"/>
          <w:pgNumType w:fmt="numberInDash"/>
          <w:cols w:space="425" w:num="1"/>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437281792"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437281792;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fill type="pattern" on="t" color2="#FFFFFF [3212]" focussize="0,0" r:id="rId30"/>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rPr>
          <w:color w:val="000000" w:themeColor="text1"/>
          <w14:textFill>
            <w14:solidFill>
              <w14:schemeClr w14:val="tx1"/>
            </w14:solidFill>
          </w14:textFill>
        </w:rPr>
      </w:pPr>
    </w:p>
    <w:tbl>
      <w:tblPr>
        <w:tblStyle w:val="7"/>
        <w:tblW w:w="9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00"/>
        <w:gridCol w:w="567"/>
        <w:gridCol w:w="1336"/>
        <w:gridCol w:w="2700"/>
        <w:gridCol w:w="567"/>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32"/>
                <w:szCs w:val="32"/>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atLeast"/>
          <w:jc w:val="center"/>
        </w:trPr>
        <w:tc>
          <w:tcPr>
            <w:tcW w:w="4603" w:type="dxa"/>
            <w:gridSpan w:val="3"/>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0"/>
                <w:szCs w:val="20"/>
                <w:lang w:val="en-US" w:eastAsia="zh-CN"/>
              </w:rPr>
              <w:t>大厂回族自治县司法局（本级）</w:t>
            </w: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861.92</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729.63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861.92</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837.66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7.93</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869.85</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869.85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7"/>
        <w:tblW w:w="8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32"/>
                <w:szCs w:val="32"/>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3960" w:type="dxa"/>
            <w:gridSpan w:val="8"/>
            <w:tcBorders>
              <w:top w:val="nil"/>
              <w:left w:val="nil"/>
              <w:bottom w:val="nil"/>
              <w:right w:val="nil"/>
            </w:tcBorders>
            <w:tcMar>
              <w:top w:w="15" w:type="dxa"/>
              <w:left w:w="15" w:type="dxa"/>
              <w:right w:w="15" w:type="dxa"/>
            </w:tcMar>
            <w:vAlign w:val="center"/>
          </w:tcPr>
          <w:p>
            <w:pPr>
              <w:widowControl/>
              <w:spacing w:after="0" w:line="240" w:lineRule="exact"/>
              <w:rPr>
                <w:rFonts w:hint="eastAsia" w:ascii="宋体" w:hAnsi="宋体" w:cs="宋体"/>
                <w:color w:val="000000"/>
                <w:kern w:val="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0"/>
                <w:szCs w:val="20"/>
                <w:lang w:val="en-US" w:eastAsia="zh-CN"/>
              </w:rPr>
              <w:t>大厂回族自治县司法局（本级）</w:t>
            </w:r>
          </w:p>
        </w:tc>
        <w:tc>
          <w:tcPr>
            <w:tcW w:w="816"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jc w:val="center"/>
        </w:trPr>
        <w:tc>
          <w:tcPr>
            <w:tcW w:w="2352"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318" w:type="dxa"/>
            <w:tcBorders>
              <w:top w:val="nil"/>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20" w:type="dxa"/>
            <w:gridSpan w:val="3"/>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235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92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35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92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b/>
                <w:color w:val="000000"/>
                <w:sz w:val="18"/>
                <w:szCs w:val="18"/>
                <w:lang w:val="en-US" w:eastAsia="zh-CN"/>
              </w:rPr>
            </w:pPr>
            <w:r>
              <w:rPr>
                <w:rFonts w:hint="eastAsia" w:ascii="宋体" w:hAnsi="宋体" w:cs="宋体"/>
                <w:b/>
                <w:color w:val="000000"/>
                <w:sz w:val="18"/>
                <w:szCs w:val="18"/>
                <w:lang w:val="en-US" w:eastAsia="zh-CN"/>
              </w:rPr>
              <w:t>861.92</w:t>
            </w:r>
          </w:p>
        </w:tc>
        <w:tc>
          <w:tcPr>
            <w:tcW w:w="92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b/>
                <w:color w:val="000000"/>
                <w:sz w:val="18"/>
                <w:szCs w:val="18"/>
              </w:rPr>
            </w:pPr>
            <w:r>
              <w:rPr>
                <w:rFonts w:hint="eastAsia" w:ascii="宋体" w:hAnsi="宋体" w:cs="宋体"/>
                <w:b/>
                <w:color w:val="000000"/>
                <w:sz w:val="18"/>
                <w:szCs w:val="18"/>
                <w:lang w:val="en-US" w:eastAsia="zh-CN"/>
              </w:rPr>
              <w:t>861.92</w:t>
            </w:r>
          </w:p>
        </w:tc>
        <w:tc>
          <w:tcPr>
            <w:tcW w:w="921"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204</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rPr>
              <w:t>公共安全支出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753.89</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753.89</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20406</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司法</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753.89</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753.89</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2040601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行政运行</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624.22</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624.22</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2040604</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rPr>
              <w:t>基层司法业务</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26.42</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26.42</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2040605</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rPr>
              <w:t>普法宣传</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6</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6</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2040607</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rPr>
              <w:t>法律援助</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11.77</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11.77</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cs="宋体"/>
                <w:color w:val="000000"/>
                <w:szCs w:val="21"/>
                <w:lang w:val="en-US"/>
              </w:rPr>
            </w:pPr>
            <w:r>
              <w:rPr>
                <w:rFonts w:hint="eastAsia" w:ascii="宋体" w:hAnsi="宋体" w:cs="宋体"/>
                <w:color w:val="000000"/>
                <w:szCs w:val="21"/>
                <w:lang w:val="en-US" w:eastAsia="zh-CN"/>
              </w:rPr>
              <w:t>2040610</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rPr>
              <w:t>社区矫正</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19.23</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19.23</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cs="宋体"/>
                <w:b/>
                <w:bCs/>
                <w:color w:val="000000"/>
                <w:szCs w:val="21"/>
                <w:lang w:val="en-US"/>
              </w:rPr>
            </w:pPr>
            <w:r>
              <w:rPr>
                <w:rFonts w:hint="eastAsia" w:ascii="宋体" w:hAnsi="宋体" w:cs="宋体"/>
                <w:color w:val="000000"/>
                <w:szCs w:val="21"/>
                <w:lang w:val="en-US" w:eastAsia="zh-CN"/>
              </w:rPr>
              <w:t>2040612</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法制建设</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17</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17</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2040699</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cs="宋体"/>
                <w:color w:val="000000"/>
                <w:szCs w:val="21"/>
                <w:lang w:val="en-US" w:eastAsia="zh-CN"/>
              </w:rPr>
            </w:pPr>
            <w:r>
              <w:rPr>
                <w:rFonts w:hint="eastAsia"/>
              </w:rPr>
              <w:t>其他司法支出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49.24</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49.24</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rPr>
              <w:t>社会保障和就业支出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51.27</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51.27</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20805</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rPr>
              <w:t>行政事业单位离退休</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51.27</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51.27</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2080505</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rPr>
              <w:t>机关事业单位基本养老保险缴费支出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51.27</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51.27</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rPr>
              <w:t>卫生健康支出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21.23</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21.23</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rPr>
              <w:t>行政事业单位医疗</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21.23</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21.23</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2101101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rPr>
              <w:t>行政单位医疗</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21.23</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21.23</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221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rPr>
              <w:t>住房保障支出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35.53</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35.53</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22102</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rPr>
              <w:t>住房改革支出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35.53</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35.53</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2210201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rPr>
              <w:t>住房公积金</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35.53</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35.53</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7"/>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0"/>
        <w:gridCol w:w="289"/>
        <w:gridCol w:w="557"/>
        <w:gridCol w:w="1750"/>
        <w:gridCol w:w="260"/>
        <w:gridCol w:w="715"/>
        <w:gridCol w:w="403"/>
        <w:gridCol w:w="547"/>
        <w:gridCol w:w="573"/>
        <w:gridCol w:w="540"/>
        <w:gridCol w:w="578"/>
        <w:gridCol w:w="331"/>
        <w:gridCol w:w="789"/>
        <w:gridCol w:w="294"/>
        <w:gridCol w:w="1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32"/>
                <w:szCs w:val="32"/>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trPr>
        <w:tc>
          <w:tcPr>
            <w:tcW w:w="29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55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7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4264" w:type="dxa"/>
            <w:gridSpan w:val="7"/>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lang w:val="en-US" w:eastAsia="zh-CN"/>
              </w:rPr>
              <w:t>大厂回族自治县司法局（本级）</w:t>
            </w:r>
          </w:p>
        </w:tc>
        <w:tc>
          <w:tcPr>
            <w:tcW w:w="112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7" w:hRule="atLeast"/>
        </w:trPr>
        <w:tc>
          <w:tcPr>
            <w:tcW w:w="288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975"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950"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1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909"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975"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50"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1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09"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2886"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9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1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9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2886"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837.66</w:t>
            </w:r>
          </w:p>
        </w:tc>
        <w:tc>
          <w:tcPr>
            <w:tcW w:w="9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734.89</w:t>
            </w:r>
          </w:p>
        </w:tc>
        <w:tc>
          <w:tcPr>
            <w:tcW w:w="111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b/>
                <w:color w:val="000000"/>
                <w:szCs w:val="21"/>
              </w:rPr>
            </w:pPr>
            <w:r>
              <w:rPr>
                <w:rFonts w:hint="eastAsia" w:ascii="宋体" w:hAnsi="宋体" w:cs="宋体"/>
                <w:b/>
                <w:color w:val="000000"/>
                <w:szCs w:val="21"/>
                <w:lang w:val="en-US" w:eastAsia="zh-CN"/>
              </w:rPr>
              <w:t>102.77</w:t>
            </w:r>
          </w:p>
        </w:tc>
        <w:tc>
          <w:tcPr>
            <w:tcW w:w="9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b/>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b/>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204</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公共安全支出</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729.63</w:t>
            </w:r>
          </w:p>
        </w:tc>
        <w:tc>
          <w:tcPr>
            <w:tcW w:w="9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626.86</w:t>
            </w:r>
          </w:p>
        </w:tc>
        <w:tc>
          <w:tcPr>
            <w:tcW w:w="111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102.77</w:t>
            </w:r>
          </w:p>
        </w:tc>
        <w:tc>
          <w:tcPr>
            <w:tcW w:w="9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20406</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司法</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729.63</w:t>
            </w:r>
          </w:p>
        </w:tc>
        <w:tc>
          <w:tcPr>
            <w:tcW w:w="9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626.86</w:t>
            </w:r>
          </w:p>
        </w:tc>
        <w:tc>
          <w:tcPr>
            <w:tcW w:w="111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102.77</w:t>
            </w:r>
          </w:p>
        </w:tc>
        <w:tc>
          <w:tcPr>
            <w:tcW w:w="9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2040601</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行政运行</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626.97</w:t>
            </w:r>
          </w:p>
        </w:tc>
        <w:tc>
          <w:tcPr>
            <w:tcW w:w="9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626.86</w:t>
            </w:r>
          </w:p>
        </w:tc>
        <w:tc>
          <w:tcPr>
            <w:tcW w:w="111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0.11</w:t>
            </w:r>
          </w:p>
        </w:tc>
        <w:tc>
          <w:tcPr>
            <w:tcW w:w="9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2040604</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基层司法业务</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26.42</w:t>
            </w:r>
          </w:p>
        </w:tc>
        <w:tc>
          <w:tcPr>
            <w:tcW w:w="9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1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26.42</w:t>
            </w:r>
          </w:p>
        </w:tc>
        <w:tc>
          <w:tcPr>
            <w:tcW w:w="9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2040605</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普法宣传</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6</w:t>
            </w:r>
          </w:p>
        </w:tc>
        <w:tc>
          <w:tcPr>
            <w:tcW w:w="9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1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6</w:t>
            </w:r>
          </w:p>
        </w:tc>
        <w:tc>
          <w:tcPr>
            <w:tcW w:w="9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2040607</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法律援助</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2.77</w:t>
            </w:r>
          </w:p>
        </w:tc>
        <w:tc>
          <w:tcPr>
            <w:tcW w:w="9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1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2.77</w:t>
            </w:r>
          </w:p>
        </w:tc>
        <w:tc>
          <w:tcPr>
            <w:tcW w:w="9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2040610</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社区矫正</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19.23</w:t>
            </w:r>
          </w:p>
        </w:tc>
        <w:tc>
          <w:tcPr>
            <w:tcW w:w="9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1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19.23</w:t>
            </w:r>
          </w:p>
        </w:tc>
        <w:tc>
          <w:tcPr>
            <w:tcW w:w="9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b/>
                <w:bCs/>
                <w:color w:val="000000"/>
                <w:kern w:val="2"/>
                <w:sz w:val="21"/>
                <w:szCs w:val="21"/>
                <w:lang w:val="en-US" w:eastAsia="zh-CN" w:bidi="ar-SA"/>
              </w:rPr>
            </w:pPr>
            <w:r>
              <w:rPr>
                <w:rFonts w:hint="eastAsia" w:ascii="宋体" w:hAnsi="宋体" w:cs="宋体"/>
                <w:color w:val="000000"/>
                <w:szCs w:val="21"/>
                <w:lang w:val="en-US" w:eastAsia="zh-CN"/>
              </w:rPr>
              <w:t>2040612</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法制建设</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17</w:t>
            </w:r>
          </w:p>
        </w:tc>
        <w:tc>
          <w:tcPr>
            <w:tcW w:w="9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1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17</w:t>
            </w:r>
          </w:p>
        </w:tc>
        <w:tc>
          <w:tcPr>
            <w:tcW w:w="9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2040699</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rPr>
              <w:t>其他司法支出</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31.24</w:t>
            </w:r>
          </w:p>
        </w:tc>
        <w:tc>
          <w:tcPr>
            <w:tcW w:w="9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1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31.24</w:t>
            </w:r>
          </w:p>
        </w:tc>
        <w:tc>
          <w:tcPr>
            <w:tcW w:w="9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208</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社会保障和就业支出</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51.27</w:t>
            </w:r>
          </w:p>
        </w:tc>
        <w:tc>
          <w:tcPr>
            <w:tcW w:w="9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51.27</w:t>
            </w:r>
          </w:p>
        </w:tc>
        <w:tc>
          <w:tcPr>
            <w:tcW w:w="111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20805</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行政事业单位离退休</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51.27</w:t>
            </w:r>
          </w:p>
        </w:tc>
        <w:tc>
          <w:tcPr>
            <w:tcW w:w="9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51.27</w:t>
            </w:r>
          </w:p>
        </w:tc>
        <w:tc>
          <w:tcPr>
            <w:tcW w:w="111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2080505</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机关事业单位基本养老保险缴费支出</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51.27</w:t>
            </w:r>
          </w:p>
        </w:tc>
        <w:tc>
          <w:tcPr>
            <w:tcW w:w="9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51.27</w:t>
            </w:r>
          </w:p>
        </w:tc>
        <w:tc>
          <w:tcPr>
            <w:tcW w:w="111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210</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卫生健康支出</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21.23</w:t>
            </w:r>
          </w:p>
        </w:tc>
        <w:tc>
          <w:tcPr>
            <w:tcW w:w="9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21.23</w:t>
            </w:r>
          </w:p>
        </w:tc>
        <w:tc>
          <w:tcPr>
            <w:tcW w:w="111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21011</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行政事业单位医疗</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21.23</w:t>
            </w:r>
          </w:p>
        </w:tc>
        <w:tc>
          <w:tcPr>
            <w:tcW w:w="9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21.23</w:t>
            </w:r>
          </w:p>
        </w:tc>
        <w:tc>
          <w:tcPr>
            <w:tcW w:w="111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2101101</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行政单位医疗</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21.23</w:t>
            </w:r>
          </w:p>
        </w:tc>
        <w:tc>
          <w:tcPr>
            <w:tcW w:w="9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21.23</w:t>
            </w:r>
          </w:p>
        </w:tc>
        <w:tc>
          <w:tcPr>
            <w:tcW w:w="111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221</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住房保障支出</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35.53</w:t>
            </w:r>
          </w:p>
        </w:tc>
        <w:tc>
          <w:tcPr>
            <w:tcW w:w="9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35.53</w:t>
            </w:r>
          </w:p>
        </w:tc>
        <w:tc>
          <w:tcPr>
            <w:tcW w:w="111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22102</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住房改革支出</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35.53</w:t>
            </w:r>
          </w:p>
        </w:tc>
        <w:tc>
          <w:tcPr>
            <w:tcW w:w="9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35.53</w:t>
            </w:r>
          </w:p>
        </w:tc>
        <w:tc>
          <w:tcPr>
            <w:tcW w:w="111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2210201</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住房公积金</w:t>
            </w:r>
          </w:p>
        </w:tc>
        <w:tc>
          <w:tcPr>
            <w:tcW w:w="9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35.53</w:t>
            </w:r>
          </w:p>
        </w:tc>
        <w:tc>
          <w:tcPr>
            <w:tcW w:w="9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35.53</w:t>
            </w:r>
          </w:p>
        </w:tc>
        <w:tc>
          <w:tcPr>
            <w:tcW w:w="111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7"/>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32"/>
                <w:szCs w:val="32"/>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7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0"/>
                <w:szCs w:val="20"/>
                <w:lang w:val="en-US" w:eastAsia="zh-CN"/>
              </w:rPr>
              <w:t>大厂回族自治县司法局（本级）</w:t>
            </w: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861.92</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729.63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729.63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51.27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51.27</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21.23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21.23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35.53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35.53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861.92</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837.66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837.66</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7.93</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32.19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32.19</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7.93</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869.85</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869.85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869.85</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7"/>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32"/>
                <w:szCs w:val="32"/>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3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lang w:val="en-US" w:eastAsia="zh-CN"/>
              </w:rPr>
              <w:t>大厂回族自治县司法局（本级）</w:t>
            </w: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b/>
                <w:color w:val="000000"/>
                <w:kern w:val="2"/>
                <w:sz w:val="21"/>
                <w:szCs w:val="21"/>
                <w:lang w:val="en-US" w:eastAsia="zh-CN" w:bidi="ar-SA"/>
              </w:rPr>
            </w:pPr>
            <w:r>
              <w:rPr>
                <w:rFonts w:hint="eastAsia" w:ascii="宋体" w:hAnsi="宋体" w:cs="宋体"/>
                <w:b/>
                <w:color w:val="000000"/>
                <w:szCs w:val="21"/>
                <w:lang w:val="en-US" w:eastAsia="zh-CN"/>
              </w:rPr>
              <w:t>837.66</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b/>
                <w:color w:val="000000"/>
                <w:kern w:val="2"/>
                <w:sz w:val="21"/>
                <w:szCs w:val="21"/>
                <w:lang w:val="en-US" w:eastAsia="zh-CN" w:bidi="ar-SA"/>
              </w:rPr>
            </w:pPr>
            <w:r>
              <w:rPr>
                <w:rFonts w:hint="eastAsia" w:ascii="宋体" w:hAnsi="宋体" w:cs="宋体"/>
                <w:b/>
                <w:color w:val="000000"/>
                <w:szCs w:val="21"/>
                <w:lang w:val="en-US" w:eastAsia="zh-CN"/>
              </w:rPr>
              <w:t>734.89</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b/>
                <w:color w:val="000000"/>
                <w:kern w:val="2"/>
                <w:sz w:val="21"/>
                <w:szCs w:val="21"/>
                <w:lang w:val="en-US" w:eastAsia="zh-CN" w:bidi="ar-SA"/>
              </w:rPr>
            </w:pPr>
            <w:r>
              <w:rPr>
                <w:rFonts w:hint="eastAsia" w:ascii="宋体" w:hAnsi="宋体" w:cs="宋体"/>
                <w:b/>
                <w:color w:val="000000"/>
                <w:szCs w:val="21"/>
                <w:lang w:val="en-US" w:eastAsia="zh-CN"/>
              </w:rPr>
              <w:t>102.77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204</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公共安全支出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729.63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626.86</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102.77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20406</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司法</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729.63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626.86</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102.77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2040601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行政运行</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626.97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626.86</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2040604</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基层司法业务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26.42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2040605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普法宣传</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6</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2040607</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法律援助</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2.77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2040610</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社区矫正</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19.23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b/>
                <w:bCs/>
                <w:color w:val="000000"/>
                <w:kern w:val="2"/>
                <w:sz w:val="21"/>
                <w:szCs w:val="21"/>
                <w:lang w:val="en-US" w:eastAsia="zh-CN" w:bidi="ar-SA"/>
              </w:rPr>
            </w:pPr>
            <w:r>
              <w:rPr>
                <w:rFonts w:hint="eastAsia" w:ascii="宋体" w:hAnsi="宋体" w:cs="宋体"/>
                <w:color w:val="000000"/>
                <w:szCs w:val="21"/>
                <w:lang w:val="en-US" w:eastAsia="zh-CN"/>
              </w:rPr>
              <w:t>2040612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法制建设</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2040699</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eastAsia" w:ascii="宋体" w:hAnsi="宋体" w:eastAsia="宋体" w:cs="宋体"/>
                <w:color w:val="000000"/>
                <w:kern w:val="2"/>
                <w:sz w:val="21"/>
                <w:szCs w:val="21"/>
                <w:lang w:val="en-US" w:eastAsia="zh-CN" w:bidi="ar-SA"/>
              </w:rPr>
            </w:pPr>
            <w:r>
              <w:rPr>
                <w:rFonts w:hint="eastAsia"/>
              </w:rPr>
              <w:t>其他司法支出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31.24</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208</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社会保障和就业支出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51.27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51.27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20805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行政事业单位离退休</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51.27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51.27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2080505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机关事业单位基本养老保险缴费支出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51.27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51.27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210</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卫生健康支出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21.23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21.23</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21011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行政事业单位医疗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21.23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21.23</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2101101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行政单位医疗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21.23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21.23</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221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住房保障支出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35.53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35.53</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22102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住房改革支出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35.53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35.53</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2210201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rPr>
              <w:t>住房公积金</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35.53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35.53</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7"/>
        <w:tblW w:w="91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32"/>
                <w:szCs w:val="32"/>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r>
              <w:rPr>
                <w:rFonts w:hint="eastAsia" w:ascii="宋体" w:hAnsi="宋体" w:cs="宋体"/>
                <w:color w:val="000000"/>
                <w:kern w:val="0"/>
                <w:sz w:val="20"/>
                <w:szCs w:val="20"/>
                <w:lang w:val="en-US" w:eastAsia="zh-CN"/>
              </w:rPr>
              <w:t>大厂回族自治县司法局（本级）</w:t>
            </w: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520.96</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82.96</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150.71</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6.32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260.69</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0.27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51.27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3.12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21.71</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21.23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4.01</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5.62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1.52</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0.74</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35.53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2.69</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126.78</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0.25</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17.72</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5.54</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3.42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107.76</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3.67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6.08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14.48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5.04</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647.74</w:t>
            </w:r>
          </w:p>
        </w:tc>
        <w:tc>
          <w:tcPr>
            <w:tcW w:w="5328"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7"/>
        <w:tblW w:w="8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8"/>
        <w:gridCol w:w="1527"/>
        <w:gridCol w:w="1528"/>
        <w:gridCol w:w="1530"/>
        <w:gridCol w:w="1530"/>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32"/>
                <w:szCs w:val="32"/>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0"/>
                <w:szCs w:val="20"/>
                <w:lang w:val="en-US" w:eastAsia="zh-CN"/>
              </w:rPr>
              <w:t>大厂回族自治县司法局（本级）</w:t>
            </w: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8.52</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8.2</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8.2</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lang w:val="en-US" w:eastAsia="zh-CN"/>
              </w:rPr>
              <w:t>6.08</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lang w:val="en-US" w:eastAsia="zh-CN"/>
              </w:rPr>
              <w:t>6.08</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6.08</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eastAsia="宋体" w:cs="宋体"/>
                <w:color w:val="000000" w:themeColor="text1"/>
                <w14:textFill>
                  <w14:solidFill>
                    <w14:schemeClr w14:val="tx1"/>
                  </w14:solidFill>
                </w14:textFill>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7"/>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2"/>
                <w:szCs w:val="32"/>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96"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4017" w:type="dxa"/>
            <w:gridSpan w:val="7"/>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lang w:val="en-US" w:eastAsia="zh-CN"/>
              </w:rPr>
              <w:t>大厂回族自治县司法局（本级）</w:t>
            </w: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注：本部门本年度无政府性基金预算财政拨款收支及结转结余情况，按要求以空表列示。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7"/>
        <w:tblW w:w="92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32"/>
                <w:szCs w:val="32"/>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442"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362" w:type="dxa"/>
            <w:gridSpan w:val="9"/>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r>
              <w:rPr>
                <w:rFonts w:hint="eastAsia" w:ascii="宋体" w:hAnsi="宋体" w:eastAsia="宋体" w:cs="宋体"/>
                <w:color w:val="000000"/>
                <w:kern w:val="0"/>
                <w:sz w:val="22"/>
                <w:szCs w:val="22"/>
                <w:lang w:val="en-US" w:eastAsia="zh-CN"/>
              </w:rPr>
              <w:t>部门：</w:t>
            </w:r>
            <w:r>
              <w:rPr>
                <w:rFonts w:hint="eastAsia" w:ascii="宋体" w:hAnsi="宋体" w:eastAsia="宋体" w:cs="宋体"/>
                <w:color w:val="000000"/>
                <w:kern w:val="0"/>
                <w:sz w:val="20"/>
                <w:szCs w:val="20"/>
                <w:lang w:val="en-US" w:eastAsia="zh-CN"/>
              </w:rPr>
              <w:t>大厂回族自治县司法局（本级）</w:t>
            </w: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hint="eastAsia" w:ascii="宋体" w:hAnsi="宋体" w:cs="宋体" w:eastAsiaTheme="minorEastAsia"/>
                <w:color w:val="000000"/>
                <w:sz w:val="22"/>
                <w:szCs w:val="22"/>
                <w:lang w:eastAsia="zh-CN"/>
              </w:rPr>
            </w:pPr>
            <w:r>
              <w:rPr>
                <w:rFonts w:hint="eastAsia" w:ascii="宋体" w:hAnsi="宋体" w:cs="宋体"/>
                <w:color w:val="000000"/>
                <w:kern w:val="0"/>
                <w:sz w:val="22"/>
                <w:szCs w:val="22"/>
              </w:rPr>
              <w:t>注：本部门本年度无国有资本经营预算财政拨款支出情况，按要求以空表列示</w:t>
            </w:r>
            <w:r>
              <w:rPr>
                <w:rFonts w:hint="eastAsia" w:ascii="宋体" w:hAnsi="宋体" w:cs="宋体"/>
                <w:color w:val="000000"/>
                <w:kern w:val="0"/>
                <w:sz w:val="22"/>
                <w:szCs w:val="22"/>
                <w:lang w:eastAsia="zh-CN"/>
              </w:rPr>
              <w:t>。</w:t>
            </w:r>
          </w:p>
        </w:tc>
      </w:tr>
    </w:tbl>
    <w:p>
      <w:pPr>
        <w:rPr>
          <w:color w:val="000000" w:themeColor="text1"/>
          <w14:textFill>
            <w14:solidFill>
              <w14:schemeClr w14:val="tx1"/>
            </w14:solidFill>
          </w14:textFill>
        </w:rPr>
        <w:sectPr>
          <w:headerReference r:id="rId23" w:type="first"/>
          <w:headerReference r:id="rId22" w:type="default"/>
          <w:footerReference r:id="rId24" w:type="default"/>
          <w:pgSz w:w="11906" w:h="16838"/>
          <w:pgMar w:top="1701" w:right="1417" w:bottom="1281" w:left="1417" w:header="851" w:footer="992" w:gutter="0"/>
          <w:pgNumType w:fmt="numberInDash"/>
          <w:cols w:space="0" w:num="1"/>
          <w:docGrid w:type="lines" w:linePitch="312" w:charSpace="0"/>
        </w:sectPr>
      </w:pPr>
      <w:r>
        <w:rPr>
          <w:color w:val="000000" w:themeColor="text1"/>
          <w14:textFill>
            <w14:solidFill>
              <w14:schemeClr w14:val="tx1"/>
            </w14:solidFill>
          </w14:textFill>
        </w:rPr>
        <w:br w:type="page"/>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437283840"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28" name="文本框 2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3840;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G&#10;5vsn2wAAAAwBAAAPAAAAAAAAAAEAIAAAACIAAABkcnMvZG93bnJldi54bWxQSwECFAAUAAAACACH&#10;TuJAY7bEa1oCAAC4BAAADgAAAAAAAAABACAAAAAqAQAAZHJzL2Uyb0RvYy54bWxQSwUGAAAAAAYA&#10;BgBZAQAA9gUAAAAA&#10;">
                <v:fill type="pattern" on="t" color2="#FFFFFF [3212]" focussize="0,0" r:id="rId30"/>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sectPr>
          <w:headerReference r:id="rId25" w:type="default"/>
          <w:pgSz w:w="11906" w:h="16838"/>
          <w:pgMar w:top="1701" w:right="1417" w:bottom="1281" w:left="1417" w:header="851" w:footer="992" w:gutter="0"/>
          <w:pgNumType w:fmt="numberInDash"/>
          <w:cols w:space="0" w:num="1"/>
          <w:docGrid w:type="lines" w:linePitch="312" w:charSpace="0"/>
        </w:sectPr>
      </w:pPr>
      <w:r>
        <w:rPr>
          <w:color w:val="000000" w:themeColor="text1"/>
          <w14:textFill>
            <w14:solidFill>
              <w14:schemeClr w14:val="tx1"/>
            </w14:solidFill>
          </w14:textFill>
        </w:rPr>
        <w:br w:type="page"/>
      </w:r>
    </w:p>
    <w:p>
      <w:pPr>
        <w:spacing w:line="584"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一、预算绩效情况说明</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（一）预算绩效管理工作开展情况</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根据预算绩效管理要求，本部门对2019年度整体绩效实现情况和项目支出情况开展绩效评价。组织对2019年度一般公共预算项目支出全面开展绩效自评，项目</w:t>
      </w:r>
      <w:r>
        <w:rPr>
          <w:rFonts w:hint="eastAsia" w:ascii="Times New Roman" w:hAnsi="Times New Roman" w:eastAsia="仿宋_GB2312" w:cs="Times New Roman"/>
          <w:color w:val="000000"/>
          <w:sz w:val="32"/>
          <w:szCs w:val="32"/>
          <w:lang w:val="en-US" w:eastAsia="zh-CN"/>
        </w:rPr>
        <w:t>16</w:t>
      </w:r>
      <w:r>
        <w:rPr>
          <w:rFonts w:ascii="Times New Roman" w:hAnsi="Times New Roman" w:eastAsia="仿宋_GB2312" w:cs="Times New Roman"/>
          <w:color w:val="000000"/>
          <w:sz w:val="32"/>
          <w:szCs w:val="32"/>
        </w:rPr>
        <w:t>个，涉及资金</w:t>
      </w:r>
      <w:r>
        <w:rPr>
          <w:rFonts w:hint="eastAsia" w:ascii="Times New Roman" w:hAnsi="Times New Roman" w:eastAsia="仿宋_GB2312" w:cs="Times New Roman"/>
          <w:color w:val="000000"/>
          <w:sz w:val="32"/>
          <w:szCs w:val="32"/>
        </w:rPr>
        <w:t>134.92</w:t>
      </w:r>
      <w:r>
        <w:rPr>
          <w:rFonts w:ascii="Times New Roman" w:hAnsi="Times New Roman" w:eastAsia="仿宋_GB2312" w:cs="Times New Roman"/>
          <w:color w:val="000000"/>
          <w:sz w:val="32"/>
          <w:szCs w:val="32"/>
        </w:rPr>
        <w:t>万元，</w:t>
      </w:r>
      <w:r>
        <w:rPr>
          <w:rFonts w:hint="eastAsia" w:ascii="Times New Roman" w:hAnsi="Times New Roman" w:eastAsia="仿宋_GB2312" w:cs="Times New Roman"/>
          <w:color w:val="000000"/>
          <w:sz w:val="32"/>
          <w:szCs w:val="32"/>
          <w:lang w:val="en-US" w:eastAsia="zh-CN"/>
        </w:rPr>
        <w:t>其中支出资金</w:t>
      </w:r>
      <w:r>
        <w:rPr>
          <w:rFonts w:hint="eastAsia" w:ascii="仿宋_GB2312" w:eastAsia="仿宋_GB2312" w:cs="DengXian-Regular"/>
          <w:sz w:val="32"/>
          <w:szCs w:val="32"/>
          <w:lang w:val="en-US" w:eastAsia="zh-CN"/>
        </w:rPr>
        <w:t>102.77万元</w:t>
      </w:r>
      <w:r>
        <w:rPr>
          <w:rFonts w:ascii="Times New Roman" w:hAnsi="Times New Roman" w:eastAsia="仿宋_GB2312" w:cs="Times New Roman"/>
          <w:color w:val="000000"/>
          <w:sz w:val="32"/>
          <w:szCs w:val="32"/>
        </w:rPr>
        <w:t>占一般公共预算项目支出总额的</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w:t>
      </w: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color w:val="000000"/>
          <w:sz w:val="32"/>
          <w:szCs w:val="32"/>
        </w:rPr>
        <w:t>普法宣传经费</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color w:val="000000"/>
          <w:sz w:val="32"/>
          <w:szCs w:val="32"/>
          <w:lang w:eastAsia="zh-CN"/>
        </w:rPr>
        <w:t>人民调解经费</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color w:val="000000"/>
          <w:sz w:val="32"/>
          <w:szCs w:val="32"/>
          <w:lang w:eastAsia="zh-CN"/>
        </w:rPr>
        <w:t>社区矫正工作经费</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color w:val="000000"/>
          <w:sz w:val="32"/>
          <w:szCs w:val="32"/>
        </w:rPr>
        <w:t>医疗纠纷调解委员会专项经费</w:t>
      </w:r>
      <w:r>
        <w:rPr>
          <w:rFonts w:hint="eastAsia" w:ascii="仿宋_GB2312" w:hAnsi="仿宋_GB2312" w:eastAsia="仿宋_GB2312" w:cs="仿宋_GB2312"/>
          <w:sz w:val="32"/>
          <w:szCs w:val="32"/>
          <w:lang w:eastAsia="zh-CN"/>
        </w:rPr>
        <w:t>”“全县法制培训经费”“法制办行政复议工作经费”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个项目开展了部门评价，涉及一般公共预算支出</w:t>
      </w:r>
      <w:r>
        <w:rPr>
          <w:rFonts w:hint="eastAsia" w:ascii="仿宋_GB2312" w:hAnsi="仿宋_GB2312" w:eastAsia="仿宋_GB2312" w:cs="仿宋_GB2312"/>
          <w:sz w:val="32"/>
          <w:szCs w:val="32"/>
          <w:lang w:val="en-US" w:eastAsia="zh-CN"/>
        </w:rPr>
        <w:t>66.73</w:t>
      </w:r>
      <w:r>
        <w:rPr>
          <w:rFonts w:hint="eastAsia" w:ascii="仿宋_GB2312" w:hAnsi="仿宋_GB2312" w:eastAsia="仿宋_GB2312" w:cs="仿宋_GB2312"/>
          <w:sz w:val="32"/>
          <w:szCs w:val="32"/>
        </w:rPr>
        <w:t>万元。从评价情况来看，</w:t>
      </w:r>
      <w:r>
        <w:rPr>
          <w:rFonts w:hint="eastAsia" w:ascii="仿宋_GB2312" w:hAnsi="仿宋_GB2312" w:eastAsia="仿宋_GB2312" w:cs="仿宋_GB2312"/>
          <w:sz w:val="32"/>
          <w:szCs w:val="32"/>
          <w:lang w:val="en-US" w:eastAsia="zh-CN"/>
        </w:rPr>
        <w:t>2019年预算项目绩效目标执行情况较好</w:t>
      </w:r>
      <w:r>
        <w:rPr>
          <w:rFonts w:hint="eastAsia" w:ascii="仿宋_GB2312" w:hAnsi="仿宋_GB2312" w:eastAsia="仿宋_GB2312" w:cs="仿宋_GB2312"/>
          <w:sz w:val="32"/>
          <w:szCs w:val="32"/>
        </w:rPr>
        <w:t>。</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（二）部门绩效评价结果</w:t>
      </w:r>
    </w:p>
    <w:p>
      <w:pPr>
        <w:adjustRightInd w:val="0"/>
        <w:snapToGrid w:val="0"/>
        <w:spacing w:line="580"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1.项目绩效自评结果。</w:t>
      </w:r>
      <w:r>
        <w:rPr>
          <w:rFonts w:ascii="Times New Roman" w:hAnsi="Times New Roman" w:eastAsia="仿宋_GB2312" w:cs="Times New Roman"/>
          <w:color w:val="000000"/>
          <w:sz w:val="32"/>
          <w:szCs w:val="32"/>
        </w:rPr>
        <w:t>本部门2019 年度对</w:t>
      </w:r>
      <w:r>
        <w:rPr>
          <w:rFonts w:hint="eastAsia" w:ascii="Times New Roman" w:hAnsi="Times New Roman" w:eastAsia="仿宋_GB2312" w:cs="Times New Roman"/>
          <w:color w:val="000000"/>
          <w:sz w:val="32"/>
          <w:szCs w:val="32"/>
          <w:lang w:val="en-US" w:eastAsia="zh-CN"/>
        </w:rPr>
        <w:t>16</w:t>
      </w:r>
      <w:r>
        <w:rPr>
          <w:rFonts w:ascii="Times New Roman" w:hAnsi="Times New Roman" w:eastAsia="仿宋_GB2312" w:cs="Times New Roman"/>
          <w:color w:val="000000"/>
          <w:sz w:val="32"/>
          <w:szCs w:val="32"/>
        </w:rPr>
        <w:t>个项目进行了绩效自评，项目自评结果90 分以上的</w:t>
      </w:r>
      <w:r>
        <w:rPr>
          <w:rFonts w:hint="eastAsia" w:ascii="Times New Roman" w:hAnsi="Times New Roman" w:eastAsia="仿宋_GB2312" w:cs="Times New Roman"/>
          <w:color w:val="000000"/>
          <w:sz w:val="32"/>
          <w:szCs w:val="32"/>
          <w:lang w:val="en-US" w:eastAsia="zh-CN"/>
        </w:rPr>
        <w:t>16</w:t>
      </w:r>
      <w:r>
        <w:rPr>
          <w:rFonts w:ascii="Times New Roman" w:hAnsi="Times New Roman" w:eastAsia="仿宋_GB2312" w:cs="Times New Roman"/>
          <w:color w:val="000000"/>
          <w:sz w:val="32"/>
          <w:szCs w:val="32"/>
        </w:rPr>
        <w:t xml:space="preserve"> 项，80 -90分的</w:t>
      </w:r>
      <w:r>
        <w:rPr>
          <w:rFonts w:hint="eastAsia" w:ascii="Times New Roman" w:hAnsi="Times New Roman" w:eastAsia="仿宋_GB2312" w:cs="Times New Roman"/>
          <w:color w:val="000000"/>
          <w:sz w:val="32"/>
          <w:szCs w:val="32"/>
          <w:lang w:val="en-US" w:eastAsia="zh-CN"/>
        </w:rPr>
        <w:t>0</w:t>
      </w:r>
      <w:r>
        <w:rPr>
          <w:rFonts w:ascii="Times New Roman" w:hAnsi="Times New Roman" w:eastAsia="仿宋_GB2312" w:cs="Times New Roman"/>
          <w:color w:val="000000"/>
          <w:sz w:val="32"/>
          <w:szCs w:val="32"/>
        </w:rPr>
        <w:t>项，80分以下的</w:t>
      </w:r>
      <w:r>
        <w:rPr>
          <w:rFonts w:hint="eastAsia" w:ascii="Times New Roman" w:hAnsi="Times New Roman" w:eastAsia="仿宋_GB2312" w:cs="Times New Roman"/>
          <w:color w:val="000000"/>
          <w:sz w:val="32"/>
          <w:szCs w:val="32"/>
          <w:lang w:val="en-US" w:eastAsia="zh-CN"/>
        </w:rPr>
        <w:t>0</w:t>
      </w:r>
      <w:r>
        <w:rPr>
          <w:rFonts w:ascii="Times New Roman" w:hAnsi="Times New Roman" w:eastAsia="仿宋_GB2312" w:cs="Times New Roman"/>
          <w:color w:val="000000"/>
          <w:sz w:val="32"/>
          <w:szCs w:val="32"/>
        </w:rPr>
        <w:t>项。在部门决算公开中反映</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color w:val="000000"/>
          <w:sz w:val="32"/>
          <w:szCs w:val="32"/>
        </w:rPr>
        <w:t>普法宣传经费</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color w:val="000000"/>
          <w:sz w:val="32"/>
          <w:szCs w:val="32"/>
          <w:lang w:eastAsia="zh-CN"/>
        </w:rPr>
        <w:t>人民调解经费</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color w:val="000000"/>
          <w:sz w:val="32"/>
          <w:szCs w:val="32"/>
          <w:lang w:eastAsia="zh-CN"/>
        </w:rPr>
        <w:t>社区矫正工作经费</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color w:val="000000"/>
          <w:sz w:val="32"/>
          <w:szCs w:val="32"/>
        </w:rPr>
        <w:t>医疗纠纷调解委员会专项经费</w:t>
      </w:r>
      <w:r>
        <w:rPr>
          <w:rFonts w:hint="eastAsia" w:ascii="仿宋_GB2312" w:hAnsi="仿宋_GB2312" w:eastAsia="仿宋_GB2312" w:cs="仿宋_GB2312"/>
          <w:sz w:val="32"/>
          <w:szCs w:val="32"/>
          <w:lang w:eastAsia="zh-CN"/>
        </w:rPr>
        <w:t>”“全县法制培训经费”“法制办行政复议工作经费”</w:t>
      </w:r>
      <w:r>
        <w:rPr>
          <w:rFonts w:hint="eastAsia" w:ascii="仿宋_GB2312" w:hAnsi="仿宋_GB2312" w:eastAsia="仿宋_GB2312" w:cs="仿宋_GB2312"/>
          <w:sz w:val="32"/>
          <w:szCs w:val="32"/>
          <w:lang w:val="en-US" w:eastAsia="zh-CN"/>
        </w:rPr>
        <w:t>等</w:t>
      </w:r>
      <w:r>
        <w:rPr>
          <w:rFonts w:hint="eastAsia" w:ascii="Times New Roman" w:hAnsi="Times New Roman" w:eastAsia="仿宋_GB2312" w:cs="Times New Roman"/>
          <w:color w:val="000000"/>
          <w:sz w:val="32"/>
          <w:szCs w:val="32"/>
          <w:lang w:val="en-US" w:eastAsia="zh-CN"/>
        </w:rPr>
        <w:t>6</w:t>
      </w:r>
      <w:r>
        <w:rPr>
          <w:rFonts w:ascii="Times New Roman" w:hAnsi="Times New Roman" w:eastAsia="仿宋_GB2312" w:cs="Times New Roman"/>
          <w:color w:val="000000"/>
          <w:sz w:val="32"/>
          <w:szCs w:val="32"/>
        </w:rPr>
        <w:t>个项目绩效自评结果。</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普法宣传经费</w:t>
      </w:r>
      <w:r>
        <w:rPr>
          <w:rFonts w:ascii="Times New Roman" w:hAnsi="Times New Roman" w:eastAsia="仿宋_GB2312" w:cs="Times New Roman"/>
          <w:color w:val="000000"/>
          <w:sz w:val="32"/>
          <w:szCs w:val="32"/>
        </w:rPr>
        <w:t>项目</w:t>
      </w:r>
      <w:r>
        <w:rPr>
          <w:rFonts w:hint="eastAsia" w:ascii="Times New Roman" w:hAnsi="Times New Roman" w:eastAsia="仿宋_GB2312" w:cs="Times New Roman"/>
          <w:color w:val="000000"/>
          <w:sz w:val="32"/>
          <w:szCs w:val="32"/>
          <w:lang w:val="en-US" w:eastAsia="zh-CN"/>
        </w:rPr>
        <w:t>绩效自评</w:t>
      </w:r>
      <w:r>
        <w:rPr>
          <w:rFonts w:ascii="Times New Roman" w:hAnsi="Times New Roman" w:eastAsia="仿宋_GB2312" w:cs="Times New Roman"/>
          <w:color w:val="000000"/>
          <w:sz w:val="32"/>
          <w:szCs w:val="32"/>
        </w:rPr>
        <w:t>综述：根据年初设定的绩效目标，</w:t>
      </w:r>
      <w:r>
        <w:rPr>
          <w:rFonts w:hint="eastAsia" w:ascii="Times New Roman" w:hAnsi="Times New Roman" w:eastAsia="仿宋_GB2312" w:cs="Times New Roman"/>
          <w:color w:val="000000"/>
          <w:sz w:val="32"/>
          <w:szCs w:val="32"/>
        </w:rPr>
        <w:t>普法宣传经费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6</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6</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。项目绩效目标完成情况：一是</w:t>
      </w:r>
      <w:r>
        <w:rPr>
          <w:rFonts w:hint="eastAsia" w:ascii="Times New Roman" w:hAnsi="Times New Roman" w:eastAsia="仿宋_GB2312" w:cs="Times New Roman"/>
          <w:color w:val="000000"/>
          <w:sz w:val="32"/>
          <w:szCs w:val="32"/>
        </w:rPr>
        <w:t>宣传资料印制数量</w:t>
      </w:r>
      <w:r>
        <w:rPr>
          <w:rFonts w:hint="eastAsia" w:ascii="Times New Roman" w:hAnsi="Times New Roman" w:eastAsia="仿宋_GB2312" w:cs="Times New Roman"/>
          <w:color w:val="000000"/>
          <w:sz w:val="32"/>
          <w:szCs w:val="32"/>
          <w:lang w:val="en-US" w:eastAsia="zh-CN"/>
        </w:rPr>
        <w:t>达到预定目标</w:t>
      </w:r>
      <w:r>
        <w:rPr>
          <w:rFonts w:ascii="Times New Roman" w:hAnsi="Times New Roman" w:eastAsia="仿宋_GB2312" w:cs="Times New Roman"/>
          <w:color w:val="000000"/>
          <w:sz w:val="32"/>
          <w:szCs w:val="32"/>
        </w:rPr>
        <w:t>；二</w:t>
      </w:r>
      <w:r>
        <w:rPr>
          <w:rFonts w:hint="eastAsia" w:ascii="Times New Roman" w:hAnsi="Times New Roman" w:eastAsia="仿宋_GB2312" w:cs="Times New Roman"/>
          <w:color w:val="000000"/>
          <w:sz w:val="32"/>
          <w:szCs w:val="32"/>
          <w:lang w:val="en-US" w:eastAsia="zh-CN"/>
        </w:rPr>
        <w:t>是普法宣传资料印刷合格率达到100%；三是在预计的时间内完成宣传资料印制；四是全县人民法律意识和法律素质有所提升</w:t>
      </w:r>
      <w:r>
        <w:rPr>
          <w:rFonts w:ascii="Times New Roman" w:hAnsi="Times New Roman" w:eastAsia="仿宋_GB2312" w:cs="Times New Roman"/>
          <w:color w:val="000000"/>
          <w:sz w:val="32"/>
          <w:szCs w:val="32"/>
        </w:rPr>
        <w:t>。</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人民调解经费</w:t>
      </w:r>
      <w:r>
        <w:rPr>
          <w:rFonts w:ascii="Times New Roman" w:hAnsi="Times New Roman" w:eastAsia="仿宋_GB2312" w:cs="Times New Roman"/>
          <w:color w:val="000000"/>
          <w:sz w:val="32"/>
          <w:szCs w:val="32"/>
        </w:rPr>
        <w:t>项目绩效自评综述：根据年初设定的绩效目标，</w:t>
      </w:r>
      <w:r>
        <w:rPr>
          <w:rFonts w:hint="eastAsia" w:ascii="Times New Roman" w:hAnsi="Times New Roman" w:eastAsia="仿宋_GB2312" w:cs="Times New Roman"/>
          <w:color w:val="000000"/>
          <w:sz w:val="32"/>
          <w:szCs w:val="32"/>
          <w:lang w:eastAsia="zh-CN"/>
        </w:rPr>
        <w:t>人民调解经费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4</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4</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。项目绩效目标完成情况：</w:t>
      </w:r>
      <w:r>
        <w:rPr>
          <w:rFonts w:hint="eastAsia" w:ascii="Times New Roman" w:hAnsi="Times New Roman" w:eastAsia="仿宋_GB2312" w:cs="Times New Roman"/>
          <w:color w:val="000000"/>
          <w:sz w:val="32"/>
          <w:szCs w:val="32"/>
          <w:lang w:val="en-US" w:eastAsia="zh-CN"/>
        </w:rPr>
        <w:t>一是调解案件数量超额完成；二是案件调解成功率为100%；三是调解员培训工作保质保量完成；四是接受矛盾纠纷调解人员满意度比例达到90%</w:t>
      </w:r>
      <w:r>
        <w:rPr>
          <w:rFonts w:ascii="Times New Roman" w:hAnsi="Times New Roman" w:eastAsia="仿宋_GB2312" w:cs="Times New Roman"/>
          <w:color w:val="000000"/>
          <w:sz w:val="32"/>
          <w:szCs w:val="32"/>
        </w:rPr>
        <w:t>。</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医疗纠纷调解委员会专项</w:t>
      </w:r>
      <w:r>
        <w:rPr>
          <w:rFonts w:hint="eastAsia" w:ascii="Times New Roman" w:hAnsi="Times New Roman" w:eastAsia="仿宋_GB2312" w:cs="Times New Roman"/>
          <w:color w:val="000000"/>
          <w:sz w:val="32"/>
          <w:szCs w:val="32"/>
          <w:lang w:eastAsia="zh-CN"/>
        </w:rPr>
        <w:t>经费</w:t>
      </w:r>
      <w:r>
        <w:rPr>
          <w:rFonts w:ascii="Times New Roman" w:hAnsi="Times New Roman" w:eastAsia="仿宋_GB2312" w:cs="Times New Roman"/>
          <w:color w:val="000000"/>
          <w:sz w:val="32"/>
          <w:szCs w:val="32"/>
        </w:rPr>
        <w:t>项目</w:t>
      </w:r>
      <w:r>
        <w:rPr>
          <w:rFonts w:hint="eastAsia" w:ascii="Times New Roman" w:hAnsi="Times New Roman" w:eastAsia="仿宋_GB2312" w:cs="Times New Roman"/>
          <w:color w:val="000000"/>
          <w:sz w:val="32"/>
          <w:szCs w:val="32"/>
          <w:lang w:val="en-US" w:eastAsia="zh-CN"/>
        </w:rPr>
        <w:t>绩效自评</w:t>
      </w:r>
      <w:r>
        <w:rPr>
          <w:rFonts w:ascii="Times New Roman" w:hAnsi="Times New Roman" w:eastAsia="仿宋_GB2312" w:cs="Times New Roman"/>
          <w:color w:val="000000"/>
          <w:sz w:val="32"/>
          <w:szCs w:val="32"/>
        </w:rPr>
        <w:t>综述：根据年初设定的绩效目标，</w:t>
      </w:r>
      <w:r>
        <w:rPr>
          <w:rFonts w:hint="eastAsia" w:ascii="Times New Roman" w:hAnsi="Times New Roman" w:eastAsia="仿宋_GB2312" w:cs="Times New Roman"/>
          <w:color w:val="000000"/>
          <w:sz w:val="32"/>
          <w:szCs w:val="32"/>
        </w:rPr>
        <w:t>医疗纠纷调解委员会专项经费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99.1</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rPr>
        <w:t>24.6</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rPr>
        <w:t>22.42</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rPr>
        <w:t>91.14%</w:t>
      </w:r>
      <w:r>
        <w:rPr>
          <w:rFonts w:hint="eastAsia" w:ascii="Times New Roman" w:hAnsi="Times New Roman" w:eastAsia="仿宋_GB2312" w:cs="Times New Roman"/>
          <w:color w:val="000000"/>
          <w:sz w:val="32"/>
          <w:szCs w:val="32"/>
          <w:lang w:val="en-US" w:eastAsia="zh-CN"/>
        </w:rPr>
        <w:t>%</w:t>
      </w:r>
      <w:r>
        <w:rPr>
          <w:rFonts w:ascii="Times New Roman" w:hAnsi="Times New Roman" w:eastAsia="仿宋_GB2312" w:cs="Times New Roman"/>
          <w:color w:val="000000"/>
          <w:sz w:val="32"/>
          <w:szCs w:val="32"/>
        </w:rPr>
        <w:t>。项目绩效目标完成情况：一是</w:t>
      </w:r>
      <w:r>
        <w:rPr>
          <w:rFonts w:hint="eastAsia" w:ascii="Times New Roman" w:hAnsi="Times New Roman" w:eastAsia="仿宋_GB2312" w:cs="Times New Roman"/>
          <w:color w:val="000000"/>
          <w:sz w:val="32"/>
          <w:szCs w:val="32"/>
          <w:lang w:val="en-US" w:eastAsia="zh-CN"/>
        </w:rPr>
        <w:t>医疗纠纷调解委员会</w:t>
      </w:r>
      <w:r>
        <w:rPr>
          <w:rFonts w:hint="eastAsia" w:ascii="Times New Roman" w:hAnsi="Times New Roman" w:eastAsia="仿宋_GB2312" w:cs="Times New Roman"/>
          <w:color w:val="000000"/>
          <w:sz w:val="32"/>
          <w:szCs w:val="32"/>
        </w:rPr>
        <w:t>购买服务人数</w:t>
      </w:r>
      <w:r>
        <w:rPr>
          <w:rFonts w:hint="eastAsia" w:ascii="Times New Roman" w:hAnsi="Times New Roman" w:eastAsia="仿宋_GB2312" w:cs="Times New Roman"/>
          <w:color w:val="000000"/>
          <w:sz w:val="32"/>
          <w:szCs w:val="32"/>
          <w:lang w:val="en-US" w:eastAsia="zh-CN"/>
        </w:rPr>
        <w:t>5人达到预定目标</w:t>
      </w:r>
      <w:r>
        <w:rPr>
          <w:rFonts w:ascii="Times New Roman" w:hAnsi="Times New Roman" w:eastAsia="仿宋_GB2312" w:cs="Times New Roman"/>
          <w:color w:val="000000"/>
          <w:sz w:val="32"/>
          <w:szCs w:val="32"/>
        </w:rPr>
        <w:t>；二</w:t>
      </w:r>
      <w:r>
        <w:rPr>
          <w:rFonts w:hint="eastAsia" w:ascii="Times New Roman" w:hAnsi="Times New Roman" w:eastAsia="仿宋_GB2312" w:cs="Times New Roman"/>
          <w:color w:val="000000"/>
          <w:sz w:val="32"/>
          <w:szCs w:val="32"/>
          <w:lang w:val="en-US" w:eastAsia="zh-CN"/>
        </w:rPr>
        <w:t>是调解纠纷案件数量4件达到预定值；三是政府购买服务人员出勤率为100%；四是医调委正常运转率为100%；五是综合满意度达到98%以上</w:t>
      </w:r>
      <w:r>
        <w:rPr>
          <w:rFonts w:ascii="Times New Roman" w:hAnsi="Times New Roman" w:eastAsia="仿宋_GB2312" w:cs="Times New Roman"/>
          <w:color w:val="000000"/>
          <w:sz w:val="32"/>
          <w:szCs w:val="32"/>
        </w:rPr>
        <w:t>。</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社区矫正工作</w:t>
      </w:r>
      <w:r>
        <w:rPr>
          <w:rFonts w:hint="eastAsia" w:ascii="Times New Roman" w:hAnsi="Times New Roman" w:eastAsia="仿宋_GB2312" w:cs="Times New Roman"/>
          <w:color w:val="000000"/>
          <w:sz w:val="32"/>
          <w:szCs w:val="32"/>
        </w:rPr>
        <w:t>经费</w:t>
      </w:r>
      <w:r>
        <w:rPr>
          <w:rFonts w:ascii="Times New Roman" w:hAnsi="Times New Roman" w:eastAsia="仿宋_GB2312" w:cs="Times New Roman"/>
          <w:color w:val="000000"/>
          <w:sz w:val="32"/>
          <w:szCs w:val="32"/>
        </w:rPr>
        <w:t>项目</w:t>
      </w:r>
      <w:r>
        <w:rPr>
          <w:rFonts w:hint="eastAsia" w:ascii="Times New Roman" w:hAnsi="Times New Roman" w:eastAsia="仿宋_GB2312" w:cs="Times New Roman"/>
          <w:color w:val="000000"/>
          <w:sz w:val="32"/>
          <w:szCs w:val="32"/>
          <w:lang w:val="en-US" w:eastAsia="zh-CN"/>
        </w:rPr>
        <w:t>绩效自评</w:t>
      </w:r>
      <w:r>
        <w:rPr>
          <w:rFonts w:ascii="Times New Roman" w:hAnsi="Times New Roman" w:eastAsia="仿宋_GB2312" w:cs="Times New Roman"/>
          <w:color w:val="000000"/>
          <w:sz w:val="32"/>
          <w:szCs w:val="32"/>
        </w:rPr>
        <w:t>综述：根据年初设定的绩效目标，</w:t>
      </w:r>
      <w:r>
        <w:rPr>
          <w:rFonts w:hint="eastAsia" w:ascii="Times New Roman" w:hAnsi="Times New Roman" w:eastAsia="仿宋_GB2312" w:cs="Times New Roman"/>
          <w:color w:val="000000"/>
          <w:sz w:val="32"/>
          <w:szCs w:val="32"/>
          <w:lang w:eastAsia="zh-CN"/>
        </w:rPr>
        <w:t>社区矫正工作经费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rPr>
        <w:t>99.6</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18</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rPr>
        <w:t>17.31</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rPr>
        <w:t>96.16</w:t>
      </w:r>
      <w:r>
        <w:rPr>
          <w:rFonts w:hint="eastAsia" w:ascii="Times New Roman" w:hAnsi="Times New Roman" w:eastAsia="仿宋_GB2312" w:cs="Times New Roman"/>
          <w:color w:val="000000"/>
          <w:sz w:val="32"/>
          <w:szCs w:val="32"/>
          <w:lang w:val="en-US" w:eastAsia="zh-CN"/>
        </w:rPr>
        <w:t>%</w:t>
      </w:r>
      <w:r>
        <w:rPr>
          <w:rFonts w:ascii="Times New Roman" w:hAnsi="Times New Roman" w:eastAsia="仿宋_GB2312" w:cs="Times New Roman"/>
          <w:color w:val="000000"/>
          <w:sz w:val="32"/>
          <w:szCs w:val="32"/>
        </w:rPr>
        <w:t>。项目绩效目标完成情况：一是</w:t>
      </w:r>
      <w:r>
        <w:rPr>
          <w:rFonts w:hint="eastAsia" w:ascii="Times New Roman" w:hAnsi="Times New Roman" w:eastAsia="仿宋_GB2312" w:cs="Times New Roman"/>
          <w:color w:val="000000"/>
          <w:sz w:val="32"/>
          <w:szCs w:val="32"/>
        </w:rPr>
        <w:t>租赁社矫中心用房和社矫基地劳动场地面积40113平方米</w:t>
      </w:r>
      <w:r>
        <w:rPr>
          <w:rFonts w:ascii="Times New Roman" w:hAnsi="Times New Roman" w:eastAsia="仿宋_GB2312" w:cs="Times New Roman"/>
          <w:color w:val="000000"/>
          <w:sz w:val="32"/>
          <w:szCs w:val="32"/>
        </w:rPr>
        <w:t>；二</w:t>
      </w:r>
      <w:r>
        <w:rPr>
          <w:rFonts w:hint="eastAsia" w:ascii="Times New Roman" w:hAnsi="Times New Roman" w:eastAsia="仿宋_GB2312" w:cs="Times New Roman"/>
          <w:color w:val="000000"/>
          <w:sz w:val="32"/>
          <w:szCs w:val="32"/>
          <w:lang w:val="en-US" w:eastAsia="zh-CN"/>
        </w:rPr>
        <w:t>是租用网络宽带数量7条（社矫中心一条专线、6个司法所各一条百兆宽带）；三是年末社区矫正在册人数68人；四是社矫人员再犯罪率为0；五是综合满意度达到95%以上</w:t>
      </w:r>
      <w:r>
        <w:rPr>
          <w:rFonts w:ascii="Times New Roman" w:hAnsi="Times New Roman" w:eastAsia="仿宋_GB2312" w:cs="Times New Roman"/>
          <w:color w:val="000000"/>
          <w:sz w:val="32"/>
          <w:szCs w:val="32"/>
        </w:rPr>
        <w:t>。</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全县法制培训经费</w:t>
      </w:r>
      <w:r>
        <w:rPr>
          <w:rFonts w:ascii="Times New Roman" w:hAnsi="Times New Roman" w:eastAsia="仿宋_GB2312" w:cs="Times New Roman"/>
          <w:color w:val="000000"/>
          <w:sz w:val="32"/>
          <w:szCs w:val="32"/>
        </w:rPr>
        <w:t>项目</w:t>
      </w:r>
      <w:r>
        <w:rPr>
          <w:rFonts w:hint="eastAsia" w:ascii="Times New Roman" w:hAnsi="Times New Roman" w:eastAsia="仿宋_GB2312" w:cs="Times New Roman"/>
          <w:color w:val="000000"/>
          <w:sz w:val="32"/>
          <w:szCs w:val="32"/>
          <w:lang w:val="en-US" w:eastAsia="zh-CN"/>
        </w:rPr>
        <w:t>绩效自评</w:t>
      </w:r>
      <w:r>
        <w:rPr>
          <w:rFonts w:ascii="Times New Roman" w:hAnsi="Times New Roman" w:eastAsia="仿宋_GB2312" w:cs="Times New Roman"/>
          <w:color w:val="000000"/>
          <w:sz w:val="32"/>
          <w:szCs w:val="32"/>
        </w:rPr>
        <w:t>综述：根据年初设定的绩效目标，</w:t>
      </w:r>
      <w:r>
        <w:rPr>
          <w:rFonts w:hint="eastAsia" w:ascii="Times New Roman" w:hAnsi="Times New Roman" w:eastAsia="仿宋_GB2312" w:cs="Times New Roman"/>
          <w:color w:val="000000"/>
          <w:sz w:val="32"/>
          <w:szCs w:val="32"/>
        </w:rPr>
        <w:t>全县法制培训经费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5</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5</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。项目绩效目标完成情况：一是</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行政执法</w:t>
      </w:r>
      <w:r>
        <w:rPr>
          <w:rFonts w:hint="eastAsia" w:ascii="Times New Roman" w:hAnsi="Times New Roman" w:eastAsia="仿宋_GB2312" w:cs="Times New Roman"/>
          <w:color w:val="000000"/>
          <w:sz w:val="32"/>
          <w:szCs w:val="32"/>
        </w:rPr>
        <w:t>培训参加人次</w:t>
      </w:r>
      <w:r>
        <w:rPr>
          <w:rFonts w:hint="eastAsia" w:ascii="Times New Roman" w:hAnsi="Times New Roman" w:eastAsia="仿宋_GB2312" w:cs="Times New Roman"/>
          <w:color w:val="000000"/>
          <w:sz w:val="32"/>
          <w:szCs w:val="32"/>
          <w:lang w:val="en-US" w:eastAsia="zh-CN"/>
        </w:rPr>
        <w:t>为800人</w:t>
      </w:r>
      <w:r>
        <w:rPr>
          <w:rFonts w:ascii="Times New Roman" w:hAnsi="Times New Roman" w:eastAsia="仿宋_GB2312" w:cs="Times New Roman"/>
          <w:color w:val="000000"/>
          <w:sz w:val="32"/>
          <w:szCs w:val="32"/>
        </w:rPr>
        <w:t>；二</w:t>
      </w:r>
      <w:r>
        <w:rPr>
          <w:rFonts w:hint="eastAsia" w:ascii="Times New Roman" w:hAnsi="Times New Roman" w:eastAsia="仿宋_GB2312" w:cs="Times New Roman"/>
          <w:color w:val="000000"/>
          <w:sz w:val="32"/>
          <w:szCs w:val="32"/>
          <w:lang w:val="en-US" w:eastAsia="zh-CN"/>
        </w:rPr>
        <w:t>是购置培训教材80本；三是培训合格率为100%；四是行政执法行为合格率为100%；五是受训学员持证上岗率为100%</w:t>
      </w:r>
      <w:r>
        <w:rPr>
          <w:rFonts w:ascii="Times New Roman" w:hAnsi="Times New Roman" w:eastAsia="仿宋_GB2312" w:cs="Times New Roman"/>
          <w:color w:val="000000"/>
          <w:sz w:val="32"/>
          <w:szCs w:val="32"/>
        </w:rPr>
        <w:t>。</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b/>
          <w:bCs/>
          <w:color w:val="000000"/>
          <w:sz w:val="32"/>
          <w:szCs w:val="32"/>
        </w:rPr>
      </w:pPr>
      <w:r>
        <w:rPr>
          <w:rFonts w:hint="eastAsia" w:ascii="Times New Roman" w:hAnsi="Times New Roman" w:eastAsia="仿宋_GB2312" w:cs="Times New Roman"/>
          <w:color w:val="000000"/>
          <w:sz w:val="32"/>
          <w:szCs w:val="32"/>
        </w:rPr>
        <w:t>法制办行政复议工作经费</w:t>
      </w:r>
      <w:r>
        <w:rPr>
          <w:rFonts w:ascii="Times New Roman" w:hAnsi="Times New Roman" w:eastAsia="仿宋_GB2312" w:cs="Times New Roman"/>
          <w:color w:val="000000"/>
          <w:sz w:val="32"/>
          <w:szCs w:val="32"/>
        </w:rPr>
        <w:t>项目</w:t>
      </w:r>
      <w:r>
        <w:rPr>
          <w:rFonts w:hint="eastAsia" w:ascii="Times New Roman" w:hAnsi="Times New Roman" w:eastAsia="仿宋_GB2312" w:cs="Times New Roman"/>
          <w:color w:val="000000"/>
          <w:sz w:val="32"/>
          <w:szCs w:val="32"/>
          <w:lang w:val="en-US" w:eastAsia="zh-CN"/>
        </w:rPr>
        <w:t>绩效自评</w:t>
      </w:r>
      <w:r>
        <w:rPr>
          <w:rFonts w:ascii="Times New Roman" w:hAnsi="Times New Roman" w:eastAsia="仿宋_GB2312" w:cs="Times New Roman"/>
          <w:color w:val="000000"/>
          <w:sz w:val="32"/>
          <w:szCs w:val="32"/>
        </w:rPr>
        <w:t>综述：根据年初设定的绩效目标，</w:t>
      </w:r>
      <w:r>
        <w:rPr>
          <w:rFonts w:hint="eastAsia" w:ascii="Times New Roman" w:hAnsi="Times New Roman" w:eastAsia="仿宋_GB2312" w:cs="Times New Roman"/>
          <w:color w:val="000000"/>
          <w:sz w:val="32"/>
          <w:szCs w:val="32"/>
        </w:rPr>
        <w:t>法制办行政复议工作经费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12</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。项目绩效目标完成情况：一是</w:t>
      </w:r>
      <w:r>
        <w:rPr>
          <w:rFonts w:hint="eastAsia" w:ascii="Times New Roman" w:hAnsi="Times New Roman" w:eastAsia="仿宋_GB2312" w:cs="Times New Roman"/>
          <w:color w:val="000000"/>
          <w:sz w:val="32"/>
          <w:szCs w:val="32"/>
          <w:lang w:val="en-US" w:eastAsia="zh-CN"/>
        </w:rPr>
        <w:t>法制咨询委员会</w:t>
      </w:r>
      <w:r>
        <w:rPr>
          <w:rFonts w:hint="eastAsia" w:ascii="Times New Roman" w:hAnsi="Times New Roman" w:eastAsia="仿宋_GB2312" w:cs="Times New Roman"/>
          <w:color w:val="000000"/>
          <w:sz w:val="32"/>
          <w:szCs w:val="32"/>
        </w:rPr>
        <w:t>律师人数</w:t>
      </w:r>
      <w:r>
        <w:rPr>
          <w:rFonts w:hint="eastAsia" w:ascii="Times New Roman" w:hAnsi="Times New Roman" w:eastAsia="仿宋_GB2312" w:cs="Times New Roman"/>
          <w:color w:val="000000"/>
          <w:sz w:val="32"/>
          <w:szCs w:val="32"/>
          <w:lang w:val="en-US" w:eastAsia="zh-CN"/>
        </w:rPr>
        <w:t>为10人</w:t>
      </w:r>
      <w:r>
        <w:rPr>
          <w:rFonts w:ascii="Times New Roman" w:hAnsi="Times New Roman" w:eastAsia="仿宋_GB2312" w:cs="Times New Roman"/>
          <w:color w:val="000000"/>
          <w:sz w:val="32"/>
          <w:szCs w:val="32"/>
        </w:rPr>
        <w:t>；二</w:t>
      </w:r>
      <w:r>
        <w:rPr>
          <w:rFonts w:hint="eastAsia" w:ascii="Times New Roman" w:hAnsi="Times New Roman" w:eastAsia="仿宋_GB2312" w:cs="Times New Roman"/>
          <w:color w:val="000000"/>
          <w:sz w:val="32"/>
          <w:szCs w:val="32"/>
          <w:lang w:val="en-US" w:eastAsia="zh-CN"/>
        </w:rPr>
        <w:t>是办理行政复议案件数量为10件；三是所有经办律师合格率为100%；四是提供各项法律意见合法率为100%；五是办理行政复议案件合法率为100%</w:t>
      </w:r>
      <w:r>
        <w:rPr>
          <w:rFonts w:ascii="Times New Roman" w:hAnsi="Times New Roman" w:eastAsia="仿宋_GB2312" w:cs="Times New Roman"/>
          <w:color w:val="000000"/>
          <w:sz w:val="32"/>
          <w:szCs w:val="32"/>
        </w:rPr>
        <w:t>。</w:t>
      </w:r>
    </w:p>
    <w:p>
      <w:pPr>
        <w:widowControl/>
        <w:numPr>
          <w:ilvl w:val="0"/>
          <w:numId w:val="3"/>
        </w:numPr>
        <w:tabs>
          <w:tab w:val="left" w:pos="0"/>
          <w:tab w:val="clear" w:pos="312"/>
        </w:tabs>
        <w:adjustRightInd w:val="0"/>
        <w:snapToGrid w:val="0"/>
        <w:spacing w:line="580" w:lineRule="exact"/>
        <w:ind w:firstLine="643" w:firstLineChars="200"/>
        <w:jc w:val="left"/>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财政评价项目绩效评价结果</w:t>
      </w:r>
    </w:p>
    <w:p>
      <w:pPr>
        <w:widowControl/>
        <w:numPr>
          <w:ilvl w:val="0"/>
          <w:numId w:val="0"/>
        </w:numPr>
        <w:tabs>
          <w:tab w:val="left" w:pos="0"/>
        </w:tabs>
        <w:adjustRightInd w:val="0"/>
        <w:snapToGrid w:val="0"/>
        <w:spacing w:line="580" w:lineRule="exact"/>
        <w:ind w:firstLine="640"/>
        <w:jc w:val="left"/>
        <w:rPr>
          <w:rFonts w:hint="eastAsia" w:ascii="Times New Roman" w:hAnsi="Times New Roman" w:eastAsia="仿宋_GB2312" w:cs="Times New Roman"/>
          <w:b/>
          <w:bCs/>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无。</w:t>
      </w:r>
    </w:p>
    <w:p>
      <w:pPr>
        <w:widowControl/>
        <w:numPr>
          <w:ilvl w:val="0"/>
          <w:numId w:val="0"/>
        </w:numPr>
        <w:tabs>
          <w:tab w:val="left" w:pos="0"/>
        </w:tabs>
        <w:adjustRightInd w:val="0"/>
        <w:snapToGrid w:val="0"/>
        <w:spacing w:line="580" w:lineRule="exact"/>
        <w:ind w:firstLine="640"/>
        <w:jc w:val="left"/>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3.部门整体绩效自评结果。</w:t>
      </w:r>
      <w:r>
        <w:rPr>
          <w:rFonts w:ascii="Times New Roman" w:hAnsi="Times New Roman" w:eastAsia="仿宋_GB2312" w:cs="Times New Roman"/>
          <w:sz w:val="32"/>
          <w:szCs w:val="32"/>
        </w:rPr>
        <w:t>本部门对2019年度部门整体绩效进行自评价，自评得分</w:t>
      </w:r>
      <w:r>
        <w:rPr>
          <w:rFonts w:hint="eastAsia" w:ascii="Times New Roman" w:hAnsi="Times New Roman" w:eastAsia="仿宋_GB2312" w:cs="Times New Roman"/>
          <w:sz w:val="32"/>
          <w:szCs w:val="32"/>
          <w:lang w:val="en-US" w:eastAsia="zh-CN"/>
        </w:rPr>
        <w:t>88</w:t>
      </w:r>
      <w:r>
        <w:rPr>
          <w:rFonts w:ascii="Times New Roman" w:hAnsi="Times New Roman" w:eastAsia="仿宋_GB2312" w:cs="Times New Roman"/>
          <w:sz w:val="32"/>
          <w:szCs w:val="32"/>
        </w:rPr>
        <w:t>分，评价等级为良。从评价情况来看，我局较好完成了2019 年履行职能职责和各项重点工作任务，整体绩效情况较为理想，总体上达到了预算绩效管理的要求。</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二、绩效公开表格</w:t>
      </w:r>
    </w:p>
    <w:p>
      <w:pPr>
        <w:widowControl/>
        <w:jc w:val="left"/>
        <w:rPr>
          <w:rFonts w:ascii="Times New Roman" w:hAnsi="Times New Roman" w:cs="Times New Roman"/>
          <w:color w:val="000000" w:themeColor="text1"/>
          <w14:textFill>
            <w14:solidFill>
              <w14:schemeClr w14:val="tx1"/>
            </w14:solidFill>
          </w14:textFill>
        </w:rPr>
        <w:sectPr>
          <w:headerReference r:id="rId26" w:type="default"/>
          <w:pgSz w:w="11906" w:h="16838"/>
          <w:pgMar w:top="1701" w:right="1417" w:bottom="1281" w:left="1417" w:header="851" w:footer="992" w:gutter="0"/>
          <w:pgNumType w:fmt="numberInDash"/>
          <w:cols w:space="0" w:num="1"/>
          <w:docGrid w:type="lines" w:linePitch="312" w:charSpace="0"/>
        </w:sectPr>
      </w:pPr>
    </w:p>
    <w:tbl>
      <w:tblPr>
        <w:tblStyle w:val="7"/>
        <w:tblW w:w="0" w:type="auto"/>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7"/>
        <w:gridCol w:w="627"/>
        <w:gridCol w:w="1467"/>
        <w:gridCol w:w="730"/>
        <w:gridCol w:w="972"/>
        <w:gridCol w:w="28"/>
        <w:gridCol w:w="993"/>
        <w:gridCol w:w="901"/>
        <w:gridCol w:w="222"/>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9" w:type="dxa"/>
            <w:gridSpan w:val="14"/>
            <w:noWrap w:val="0"/>
            <w:tcMar>
              <w:top w:w="15" w:type="dxa"/>
              <w:left w:w="15" w:type="dxa"/>
              <w:bottom w:w="0" w:type="dxa"/>
              <w:right w:w="15" w:type="dxa"/>
            </w:tcMar>
            <w:vAlign w:val="center"/>
          </w:tcPr>
          <w:p>
            <w:pPr>
              <w:widowControl/>
              <w:jc w:val="center"/>
              <w:textAlignment w:val="center"/>
              <w:rPr>
                <w:rFonts w:eastAsia="仿宋_GB2312"/>
                <w:color w:val="000000"/>
                <w:sz w:val="24"/>
                <w:szCs w:val="28"/>
              </w:rPr>
            </w:pPr>
            <w:r>
              <w:rPr>
                <w:rFonts w:hint="eastAsia"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5" w:type="dxa"/>
            <w:gridSpan w:val="15"/>
            <w:noWrap w:val="0"/>
            <w:vAlign w:val="top"/>
          </w:tcPr>
          <w:p>
            <w:pPr>
              <w:widowControl/>
              <w:spacing w:line="240" w:lineRule="exact"/>
              <w:jc w:val="center"/>
              <w:rPr>
                <w:kern w:val="0"/>
                <w:sz w:val="22"/>
              </w:rPr>
            </w:pPr>
            <w:r>
              <w:rPr>
                <w:rFonts w:hint="eastAsia" w:eastAsia="仿宋_GB2312"/>
                <w:kern w:val="0"/>
                <w:sz w:val="24"/>
              </w:rPr>
              <w:t>（2019年度）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项目名称</w:t>
            </w:r>
          </w:p>
        </w:tc>
        <w:tc>
          <w:tcPr>
            <w:tcW w:w="7651"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普法宣传经费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主管部门</w:t>
            </w:r>
          </w:p>
        </w:tc>
        <w:tc>
          <w:tcPr>
            <w:tcW w:w="419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大厂回族</w:t>
            </w:r>
            <w:r>
              <w:rPr>
                <w:rFonts w:hint="eastAsia" w:eastAsia="仿宋_GB2312"/>
                <w:kern w:val="0"/>
                <w:sz w:val="24"/>
                <w:lang w:val="en-US" w:eastAsia="zh-CN"/>
              </w:rPr>
              <w:t>自治县司法局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w:t>
            </w:r>
            <w:r>
              <w:rPr>
                <w:rFonts w:hint="eastAsia" w:eastAsia="仿宋_GB2312"/>
                <w:kern w:val="0"/>
                <w:sz w:val="24"/>
                <w:lang w:val="en-US" w:eastAsia="zh-CN"/>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项目资金</w:t>
            </w:r>
            <w:r>
              <w:rPr>
                <w:rFonts w:eastAsia="仿宋_GB2312"/>
                <w:kern w:val="0"/>
                <w:sz w:val="24"/>
              </w:rPr>
              <w:br w:type="textWrapping"/>
            </w:r>
            <w:r>
              <w:rPr>
                <w:rFonts w:hint="eastAsia" w:eastAsia="仿宋_GB2312"/>
                <w:kern w:val="0"/>
                <w:sz w:val="24"/>
              </w:rPr>
              <w:t>（万元）</w:t>
            </w: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年初</w:t>
            </w:r>
          </w:p>
          <w:p>
            <w:pPr>
              <w:widowControl/>
              <w:spacing w:line="240" w:lineRule="exact"/>
              <w:jc w:val="center"/>
              <w:rPr>
                <w:rFonts w:eastAsia="仿宋_GB2312"/>
                <w:kern w:val="0"/>
                <w:sz w:val="24"/>
              </w:rPr>
            </w:pPr>
            <w:r>
              <w:rPr>
                <w:rFonts w:hint="eastAsia"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全年</w:t>
            </w:r>
          </w:p>
          <w:p>
            <w:pPr>
              <w:widowControl/>
              <w:spacing w:line="240" w:lineRule="exact"/>
              <w:jc w:val="center"/>
              <w:rPr>
                <w:rFonts w:eastAsia="仿宋_GB2312"/>
                <w:kern w:val="0"/>
                <w:sz w:val="24"/>
              </w:rPr>
            </w:pPr>
            <w:r>
              <w:rPr>
                <w:rFonts w:hint="eastAsia"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全年</w:t>
            </w:r>
          </w:p>
          <w:p>
            <w:pPr>
              <w:widowControl/>
              <w:spacing w:line="240" w:lineRule="exact"/>
              <w:jc w:val="center"/>
              <w:rPr>
                <w:rFonts w:eastAsia="仿宋_GB2312"/>
                <w:kern w:val="0"/>
                <w:sz w:val="24"/>
              </w:rPr>
            </w:pPr>
            <w:r>
              <w:rPr>
                <w:rFonts w:hint="eastAsia"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hint="eastAsia"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w:t>
            </w:r>
            <w:r>
              <w:rPr>
                <w:rFonts w:hint="eastAsia" w:eastAsia="仿宋_GB2312"/>
                <w:kern w:val="0"/>
                <w:sz w:val="24"/>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w:t>
            </w:r>
            <w:r>
              <w:rPr>
                <w:rFonts w:hint="eastAsia" w:eastAsia="仿宋_GB2312"/>
                <w:kern w:val="0"/>
                <w:sz w:val="24"/>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年度总体目标</w:t>
            </w:r>
          </w:p>
        </w:tc>
        <w:tc>
          <w:tcPr>
            <w:tcW w:w="481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8"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481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提高全县人民法律意识和法律素质，增强法治化管理水平，促进全县民主与法制建设。</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提高全县人民法律意识和法律素质，增强法治化管理水平，促进全县民主与法制建设。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绩</w:t>
            </w:r>
            <w:r>
              <w:rPr>
                <w:rFonts w:eastAsia="仿宋_GB2312"/>
                <w:kern w:val="0"/>
                <w:sz w:val="24"/>
              </w:rPr>
              <w:br w:type="textWrapping"/>
            </w:r>
            <w:r>
              <w:rPr>
                <w:rFonts w:hint="eastAsia" w:eastAsia="仿宋_GB2312"/>
                <w:kern w:val="0"/>
                <w:sz w:val="24"/>
              </w:rPr>
              <w:t>效</w:t>
            </w:r>
            <w:r>
              <w:rPr>
                <w:rFonts w:eastAsia="仿宋_GB2312"/>
                <w:kern w:val="0"/>
                <w:sz w:val="24"/>
              </w:rPr>
              <w:br w:type="textWrapping"/>
            </w:r>
            <w:r>
              <w:rPr>
                <w:rFonts w:hint="eastAsia" w:eastAsia="仿宋_GB2312"/>
                <w:kern w:val="0"/>
                <w:sz w:val="24"/>
              </w:rPr>
              <w:t>指</w:t>
            </w:r>
            <w:r>
              <w:rPr>
                <w:rFonts w:eastAsia="仿宋_GB2312"/>
                <w:kern w:val="0"/>
                <w:sz w:val="24"/>
              </w:rPr>
              <w:br w:type="textWrapping"/>
            </w:r>
            <w:r>
              <w:rPr>
                <w:rFonts w:hint="eastAsia" w:eastAsia="仿宋_GB2312"/>
                <w:kern w:val="0"/>
                <w:sz w:val="24"/>
              </w:rPr>
              <w:t>标</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一级指标</w:t>
            </w:r>
          </w:p>
        </w:tc>
        <w:tc>
          <w:tcPr>
            <w:tcW w:w="14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年度</w:t>
            </w:r>
          </w:p>
          <w:p>
            <w:pPr>
              <w:widowControl/>
              <w:spacing w:line="240" w:lineRule="exact"/>
              <w:jc w:val="center"/>
              <w:rPr>
                <w:rFonts w:eastAsia="仿宋_GB2312"/>
                <w:kern w:val="0"/>
                <w:sz w:val="24"/>
              </w:rPr>
            </w:pPr>
            <w:r>
              <w:rPr>
                <w:rFonts w:hint="eastAsia" w:eastAsia="仿宋_GB2312"/>
                <w:kern w:val="0"/>
                <w:sz w:val="24"/>
              </w:rPr>
              <w:t>指标值</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实际</w:t>
            </w:r>
          </w:p>
          <w:p>
            <w:pPr>
              <w:widowControl/>
              <w:spacing w:line="240" w:lineRule="exact"/>
              <w:jc w:val="center"/>
              <w:rPr>
                <w:rFonts w:eastAsia="仿宋_GB2312"/>
                <w:kern w:val="0"/>
                <w:sz w:val="24"/>
              </w:rPr>
            </w:pPr>
            <w:r>
              <w:rPr>
                <w:rFonts w:hint="eastAsia" w:eastAsia="仿宋_GB2312"/>
                <w:kern w:val="0"/>
                <w:sz w:val="24"/>
              </w:rPr>
              <w:t>完成值</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产出指标</w:t>
            </w: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指标1：宣传资料印制数量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8000-10000</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10000</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xml:space="preserve">指标1：普法宣传册合格率 </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指标1：宣传资料印制完成时间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kern w:val="0"/>
                <w:sz w:val="21"/>
                <w:szCs w:val="21"/>
                <w:lang w:val="en-US" w:eastAsia="zh-CN"/>
              </w:rPr>
              <w:t>10月份</w:t>
            </w:r>
          </w:p>
        </w:tc>
        <w:tc>
          <w:tcPr>
            <w:tcW w:w="90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8月份</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指标1：年度总成本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kern w:val="0"/>
                <w:sz w:val="21"/>
                <w:szCs w:val="21"/>
                <w:lang w:val="en-US" w:eastAsia="zh-CN"/>
              </w:rPr>
              <w:t>6万元</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6万元</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效益指标</w:t>
            </w:r>
          </w:p>
          <w:p>
            <w:pPr>
              <w:widowControl/>
              <w:spacing w:line="240" w:lineRule="exact"/>
              <w:jc w:val="center"/>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经济效益</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社会效益</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指标1：宣传知晓率</w:t>
            </w:r>
          </w:p>
        </w:tc>
        <w:tc>
          <w:tcPr>
            <w:tcW w:w="1021"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70%</w:t>
            </w:r>
          </w:p>
        </w:tc>
        <w:tc>
          <w:tcPr>
            <w:tcW w:w="90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75%</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90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生态效益</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可持续影响</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指标1：提高全县人民法律意识和法律素质</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有所提高</w:t>
            </w:r>
          </w:p>
        </w:tc>
        <w:tc>
          <w:tcPr>
            <w:tcW w:w="90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有所提升</w:t>
            </w:r>
          </w:p>
        </w:tc>
        <w:tc>
          <w:tcPr>
            <w:tcW w:w="5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满意度</w:t>
            </w:r>
          </w:p>
          <w:p>
            <w:pPr>
              <w:widowControl/>
              <w:spacing w:line="240" w:lineRule="exact"/>
              <w:jc w:val="center"/>
              <w:rPr>
                <w:rFonts w:eastAsia="仿宋_GB2312"/>
                <w:kern w:val="0"/>
                <w:sz w:val="24"/>
              </w:rPr>
            </w:pPr>
            <w:r>
              <w:rPr>
                <w:rFonts w:hint="eastAsia" w:eastAsia="仿宋_GB2312"/>
                <w:kern w:val="0"/>
                <w:sz w:val="24"/>
              </w:rPr>
              <w:t>指标</w:t>
            </w: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指标1：接受普法宣传的人员满意比例</w:t>
            </w:r>
          </w:p>
        </w:tc>
        <w:tc>
          <w:tcPr>
            <w:tcW w:w="1021"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90%</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90%</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指标</w:t>
            </w:r>
            <w:r>
              <w:rPr>
                <w:rFonts w:eastAsia="仿宋_GB2312"/>
                <w:color w:val="000000"/>
                <w:kern w:val="0"/>
                <w:sz w:val="24"/>
              </w:rPr>
              <w:t>2</w:t>
            </w:r>
            <w:r>
              <w:rPr>
                <w:rFonts w:hint="eastAsia"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05"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总分</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7"/>
        <w:tblW w:w="0" w:type="auto"/>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7"/>
        <w:gridCol w:w="627"/>
        <w:gridCol w:w="1467"/>
        <w:gridCol w:w="730"/>
        <w:gridCol w:w="972"/>
        <w:gridCol w:w="28"/>
        <w:gridCol w:w="993"/>
        <w:gridCol w:w="901"/>
        <w:gridCol w:w="222"/>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888" w:hRule="atLeast"/>
        </w:trPr>
        <w:tc>
          <w:tcPr>
            <w:tcW w:w="8839" w:type="dxa"/>
            <w:gridSpan w:val="14"/>
            <w:noWrap w:val="0"/>
            <w:tcMar>
              <w:top w:w="15" w:type="dxa"/>
              <w:left w:w="15" w:type="dxa"/>
              <w:bottom w:w="0" w:type="dxa"/>
              <w:right w:w="15" w:type="dxa"/>
            </w:tcMar>
            <w:vAlign w:val="center"/>
          </w:tcPr>
          <w:p>
            <w:pPr>
              <w:widowControl/>
              <w:jc w:val="center"/>
              <w:textAlignment w:val="center"/>
              <w:rPr>
                <w:rFonts w:eastAsia="仿宋_GB2312"/>
                <w:color w:val="000000"/>
                <w:sz w:val="24"/>
                <w:szCs w:val="28"/>
              </w:rPr>
            </w:pPr>
            <w:r>
              <w:rPr>
                <w:rFonts w:hint="eastAsia"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5" w:type="dxa"/>
            <w:gridSpan w:val="15"/>
            <w:noWrap w:val="0"/>
            <w:vAlign w:val="top"/>
          </w:tcPr>
          <w:p>
            <w:pPr>
              <w:widowControl/>
              <w:spacing w:line="240" w:lineRule="exact"/>
              <w:jc w:val="center"/>
              <w:rPr>
                <w:kern w:val="0"/>
                <w:sz w:val="22"/>
              </w:rPr>
            </w:pPr>
            <w:r>
              <w:rPr>
                <w:rFonts w:hint="eastAsia" w:eastAsia="仿宋_GB2312"/>
                <w:kern w:val="0"/>
                <w:sz w:val="24"/>
              </w:rPr>
              <w:t>（2019年度）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项目名称</w:t>
            </w:r>
          </w:p>
        </w:tc>
        <w:tc>
          <w:tcPr>
            <w:tcW w:w="7651"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人民调解经费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主管部门</w:t>
            </w:r>
          </w:p>
        </w:tc>
        <w:tc>
          <w:tcPr>
            <w:tcW w:w="419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大厂回族</w:t>
            </w:r>
            <w:r>
              <w:rPr>
                <w:rFonts w:hint="eastAsia" w:eastAsia="仿宋_GB2312"/>
                <w:kern w:val="0"/>
                <w:sz w:val="24"/>
                <w:lang w:val="en-US" w:eastAsia="zh-CN"/>
              </w:rPr>
              <w:t>自治县司法局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w:t>
            </w:r>
            <w:r>
              <w:rPr>
                <w:rFonts w:hint="eastAsia" w:eastAsia="仿宋_GB2312"/>
                <w:kern w:val="0"/>
                <w:sz w:val="24"/>
                <w:lang w:val="en-US" w:eastAsia="zh-CN"/>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项目资金</w:t>
            </w:r>
            <w:r>
              <w:rPr>
                <w:rFonts w:eastAsia="仿宋_GB2312"/>
                <w:kern w:val="0"/>
                <w:sz w:val="24"/>
              </w:rPr>
              <w:br w:type="textWrapping"/>
            </w:r>
            <w:r>
              <w:rPr>
                <w:rFonts w:hint="eastAsia" w:eastAsia="仿宋_GB2312"/>
                <w:kern w:val="0"/>
                <w:sz w:val="24"/>
              </w:rPr>
              <w:t>（万元）</w:t>
            </w: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年初</w:t>
            </w:r>
          </w:p>
          <w:p>
            <w:pPr>
              <w:widowControl/>
              <w:spacing w:line="240" w:lineRule="exact"/>
              <w:jc w:val="center"/>
              <w:rPr>
                <w:rFonts w:eastAsia="仿宋_GB2312"/>
                <w:kern w:val="0"/>
                <w:sz w:val="24"/>
              </w:rPr>
            </w:pPr>
            <w:r>
              <w:rPr>
                <w:rFonts w:hint="eastAsia"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全年</w:t>
            </w:r>
          </w:p>
          <w:p>
            <w:pPr>
              <w:widowControl/>
              <w:spacing w:line="240" w:lineRule="exact"/>
              <w:jc w:val="center"/>
              <w:rPr>
                <w:rFonts w:eastAsia="仿宋_GB2312"/>
                <w:kern w:val="0"/>
                <w:sz w:val="24"/>
              </w:rPr>
            </w:pPr>
            <w:r>
              <w:rPr>
                <w:rFonts w:hint="eastAsia"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全年</w:t>
            </w:r>
          </w:p>
          <w:p>
            <w:pPr>
              <w:widowControl/>
              <w:spacing w:line="240" w:lineRule="exact"/>
              <w:jc w:val="center"/>
              <w:rPr>
                <w:rFonts w:eastAsia="仿宋_GB2312"/>
                <w:kern w:val="0"/>
                <w:sz w:val="24"/>
              </w:rPr>
            </w:pPr>
            <w:r>
              <w:rPr>
                <w:rFonts w:hint="eastAsia"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hint="eastAsia"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w:t>
            </w:r>
            <w:r>
              <w:rPr>
                <w:rFonts w:hint="eastAsia" w:eastAsia="仿宋_GB2312"/>
                <w:kern w:val="0"/>
                <w:sz w:val="24"/>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w:t>
            </w:r>
            <w:r>
              <w:rPr>
                <w:rFonts w:hint="eastAsia" w:eastAsia="仿宋_GB2312"/>
                <w:kern w:val="0"/>
                <w:sz w:val="24"/>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年度总体目标</w:t>
            </w:r>
          </w:p>
        </w:tc>
        <w:tc>
          <w:tcPr>
            <w:tcW w:w="481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8"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481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深化人民调解工作，最大限度降低重新违法犯罪和社会不稳定因素发生率。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深化人民调解工作，最大限度降低重新违法犯罪和社会不稳定因素发生率。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绩</w:t>
            </w:r>
            <w:r>
              <w:rPr>
                <w:rFonts w:eastAsia="仿宋_GB2312"/>
                <w:kern w:val="0"/>
                <w:sz w:val="24"/>
              </w:rPr>
              <w:br w:type="textWrapping"/>
            </w:r>
            <w:r>
              <w:rPr>
                <w:rFonts w:hint="eastAsia" w:eastAsia="仿宋_GB2312"/>
                <w:kern w:val="0"/>
                <w:sz w:val="24"/>
              </w:rPr>
              <w:t>效</w:t>
            </w:r>
            <w:r>
              <w:rPr>
                <w:rFonts w:eastAsia="仿宋_GB2312"/>
                <w:kern w:val="0"/>
                <w:sz w:val="24"/>
              </w:rPr>
              <w:br w:type="textWrapping"/>
            </w:r>
            <w:r>
              <w:rPr>
                <w:rFonts w:hint="eastAsia" w:eastAsia="仿宋_GB2312"/>
                <w:kern w:val="0"/>
                <w:sz w:val="24"/>
              </w:rPr>
              <w:t>指</w:t>
            </w:r>
            <w:r>
              <w:rPr>
                <w:rFonts w:eastAsia="仿宋_GB2312"/>
                <w:kern w:val="0"/>
                <w:sz w:val="24"/>
              </w:rPr>
              <w:br w:type="textWrapping"/>
            </w:r>
            <w:r>
              <w:rPr>
                <w:rFonts w:hint="eastAsia" w:eastAsia="仿宋_GB2312"/>
                <w:kern w:val="0"/>
                <w:sz w:val="24"/>
              </w:rPr>
              <w:t>标</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一级指标</w:t>
            </w:r>
          </w:p>
        </w:tc>
        <w:tc>
          <w:tcPr>
            <w:tcW w:w="14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年度</w:t>
            </w:r>
          </w:p>
          <w:p>
            <w:pPr>
              <w:widowControl/>
              <w:spacing w:line="240" w:lineRule="exact"/>
              <w:jc w:val="center"/>
              <w:rPr>
                <w:rFonts w:eastAsia="仿宋_GB2312"/>
                <w:kern w:val="0"/>
                <w:sz w:val="24"/>
              </w:rPr>
            </w:pPr>
            <w:r>
              <w:rPr>
                <w:rFonts w:hint="eastAsia" w:eastAsia="仿宋_GB2312"/>
                <w:kern w:val="0"/>
                <w:sz w:val="24"/>
              </w:rPr>
              <w:t>指标值</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实际</w:t>
            </w:r>
          </w:p>
          <w:p>
            <w:pPr>
              <w:widowControl/>
              <w:spacing w:line="240" w:lineRule="exact"/>
              <w:jc w:val="center"/>
              <w:rPr>
                <w:rFonts w:eastAsia="仿宋_GB2312"/>
                <w:kern w:val="0"/>
                <w:sz w:val="24"/>
              </w:rPr>
            </w:pPr>
            <w:r>
              <w:rPr>
                <w:rFonts w:hint="eastAsia" w:eastAsia="仿宋_GB2312"/>
                <w:kern w:val="0"/>
                <w:sz w:val="24"/>
              </w:rPr>
              <w:t>完成值</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产出指标</w:t>
            </w: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指标1：调解案件数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90件</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112</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指标2：培训调解员人数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300-500人</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450人</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r>
              <w:rPr>
                <w:rFonts w:hint="eastAsia" w:ascii="仿宋_GB2312" w:hAnsi="仿宋_GB2312" w:eastAsia="仿宋_GB2312" w:cs="仿宋_GB2312"/>
                <w:color w:val="000000"/>
                <w:kern w:val="0"/>
                <w:sz w:val="21"/>
                <w:szCs w:val="21"/>
                <w:lang w:val="en-US" w:eastAsia="zh-CN"/>
              </w:rPr>
              <w:t>案件</w:t>
            </w:r>
            <w:r>
              <w:rPr>
                <w:rFonts w:hint="eastAsia" w:ascii="仿宋_GB2312" w:hAnsi="仿宋_GB2312" w:eastAsia="仿宋_GB2312" w:cs="仿宋_GB2312"/>
                <w:color w:val="000000"/>
                <w:kern w:val="0"/>
                <w:sz w:val="21"/>
                <w:szCs w:val="21"/>
              </w:rPr>
              <w:t>调解成功率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r>
              <w:rPr>
                <w:rFonts w:hint="eastAsia" w:ascii="仿宋_GB2312" w:hAnsi="仿宋_GB2312" w:eastAsia="仿宋_GB2312" w:cs="仿宋_GB2312"/>
                <w:color w:val="000000"/>
                <w:kern w:val="0"/>
                <w:sz w:val="21"/>
                <w:szCs w:val="21"/>
                <w:lang w:val="en-US" w:eastAsia="zh-CN"/>
              </w:rPr>
              <w:t>各项工作</w:t>
            </w:r>
            <w:r>
              <w:rPr>
                <w:rFonts w:hint="eastAsia" w:ascii="仿宋_GB2312" w:hAnsi="仿宋_GB2312" w:eastAsia="仿宋_GB2312" w:cs="仿宋_GB2312"/>
                <w:color w:val="000000"/>
                <w:kern w:val="0"/>
                <w:sz w:val="21"/>
                <w:szCs w:val="21"/>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kern w:val="0"/>
                <w:sz w:val="21"/>
                <w:szCs w:val="21"/>
                <w:lang w:val="en-US" w:eastAsia="zh-CN"/>
              </w:rPr>
              <w:t>12月份</w:t>
            </w:r>
          </w:p>
        </w:tc>
        <w:tc>
          <w:tcPr>
            <w:tcW w:w="90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12月份</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指标1：年度总成本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kern w:val="0"/>
                <w:sz w:val="21"/>
                <w:szCs w:val="21"/>
                <w:lang w:val="en-US" w:eastAsia="zh-CN"/>
              </w:rPr>
              <w:t>4万元</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4万元</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效益指标</w:t>
            </w:r>
          </w:p>
          <w:p>
            <w:pPr>
              <w:widowControl/>
              <w:spacing w:line="240" w:lineRule="exact"/>
              <w:jc w:val="center"/>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经济效益</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社会效益</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指标1：工作正常开展率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100%</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rPr>
              <w:t>100%</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90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生态效益</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可持续影响</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指标1：成功处置群体性事件数占全部案发数的比率</w:t>
            </w:r>
          </w:p>
        </w:tc>
        <w:tc>
          <w:tcPr>
            <w:tcW w:w="10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90%</w:t>
            </w:r>
          </w:p>
        </w:tc>
        <w:tc>
          <w:tcPr>
            <w:tcW w:w="90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sz w:val="21"/>
                <w:szCs w:val="21"/>
                <w:lang w:val="en-US" w:eastAsia="zh-CN"/>
              </w:rPr>
              <w:t>90%</w:t>
            </w:r>
          </w:p>
        </w:tc>
        <w:tc>
          <w:tcPr>
            <w:tcW w:w="5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满意度</w:t>
            </w:r>
          </w:p>
          <w:p>
            <w:pPr>
              <w:widowControl/>
              <w:spacing w:line="240" w:lineRule="exact"/>
              <w:jc w:val="center"/>
              <w:rPr>
                <w:rFonts w:eastAsia="仿宋_GB2312"/>
                <w:kern w:val="0"/>
                <w:sz w:val="24"/>
              </w:rPr>
            </w:pPr>
            <w:r>
              <w:rPr>
                <w:rFonts w:hint="eastAsia" w:eastAsia="仿宋_GB2312"/>
                <w:kern w:val="0"/>
                <w:sz w:val="24"/>
              </w:rPr>
              <w:t>指标</w:t>
            </w: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指标1：接受矛盾纠纷调解人员满意度比例</w:t>
            </w:r>
          </w:p>
        </w:tc>
        <w:tc>
          <w:tcPr>
            <w:tcW w:w="1021"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90%</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90%</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指标</w:t>
            </w:r>
            <w:r>
              <w:rPr>
                <w:rFonts w:eastAsia="仿宋_GB2312"/>
                <w:color w:val="000000"/>
                <w:kern w:val="0"/>
                <w:sz w:val="24"/>
              </w:rPr>
              <w:t>2</w:t>
            </w:r>
            <w:r>
              <w:rPr>
                <w:rFonts w:hint="eastAsia"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05"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总分</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7"/>
        <w:tblW w:w="0" w:type="auto"/>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7"/>
        <w:gridCol w:w="627"/>
        <w:gridCol w:w="1467"/>
        <w:gridCol w:w="730"/>
        <w:gridCol w:w="972"/>
        <w:gridCol w:w="28"/>
        <w:gridCol w:w="993"/>
        <w:gridCol w:w="901"/>
        <w:gridCol w:w="222"/>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888" w:hRule="atLeast"/>
        </w:trPr>
        <w:tc>
          <w:tcPr>
            <w:tcW w:w="8839" w:type="dxa"/>
            <w:gridSpan w:val="14"/>
            <w:noWrap w:val="0"/>
            <w:tcMar>
              <w:top w:w="15" w:type="dxa"/>
              <w:left w:w="15" w:type="dxa"/>
              <w:bottom w:w="0" w:type="dxa"/>
              <w:right w:w="15" w:type="dxa"/>
            </w:tcMar>
            <w:vAlign w:val="center"/>
          </w:tcPr>
          <w:p>
            <w:pPr>
              <w:widowControl/>
              <w:jc w:val="center"/>
              <w:textAlignment w:val="center"/>
              <w:rPr>
                <w:rFonts w:eastAsia="仿宋_GB2312"/>
                <w:color w:val="000000"/>
                <w:sz w:val="24"/>
                <w:szCs w:val="28"/>
              </w:rPr>
            </w:pPr>
            <w:r>
              <w:rPr>
                <w:rFonts w:hint="eastAsia"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5" w:type="dxa"/>
            <w:gridSpan w:val="15"/>
            <w:noWrap w:val="0"/>
            <w:vAlign w:val="top"/>
          </w:tcPr>
          <w:p>
            <w:pPr>
              <w:widowControl/>
              <w:spacing w:line="240" w:lineRule="exact"/>
              <w:jc w:val="center"/>
              <w:rPr>
                <w:kern w:val="0"/>
                <w:sz w:val="22"/>
              </w:rPr>
            </w:pPr>
            <w:r>
              <w:rPr>
                <w:rFonts w:hint="eastAsia" w:eastAsia="仿宋_GB2312"/>
                <w:kern w:val="0"/>
                <w:sz w:val="24"/>
              </w:rPr>
              <w:t>（2019年度）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项目名称</w:t>
            </w:r>
          </w:p>
        </w:tc>
        <w:tc>
          <w:tcPr>
            <w:tcW w:w="7651"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医疗纠纷调解委员会专项经费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主管部门</w:t>
            </w:r>
          </w:p>
        </w:tc>
        <w:tc>
          <w:tcPr>
            <w:tcW w:w="419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大厂回族</w:t>
            </w:r>
            <w:r>
              <w:rPr>
                <w:rFonts w:hint="eastAsia" w:eastAsia="仿宋_GB2312"/>
                <w:kern w:val="0"/>
                <w:sz w:val="24"/>
                <w:lang w:val="en-US" w:eastAsia="zh-CN"/>
              </w:rPr>
              <w:t>自治县司法局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w:t>
            </w:r>
            <w:r>
              <w:rPr>
                <w:rFonts w:hint="eastAsia" w:eastAsia="仿宋_GB2312"/>
                <w:kern w:val="0"/>
                <w:sz w:val="24"/>
                <w:lang w:val="en-US" w:eastAsia="zh-CN"/>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项目资金</w:t>
            </w:r>
            <w:r>
              <w:rPr>
                <w:rFonts w:eastAsia="仿宋_GB2312"/>
                <w:kern w:val="0"/>
                <w:sz w:val="24"/>
              </w:rPr>
              <w:br w:type="textWrapping"/>
            </w:r>
            <w:r>
              <w:rPr>
                <w:rFonts w:hint="eastAsia" w:eastAsia="仿宋_GB2312"/>
                <w:kern w:val="0"/>
                <w:sz w:val="24"/>
              </w:rPr>
              <w:t>（万元）</w:t>
            </w: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年初</w:t>
            </w:r>
          </w:p>
          <w:p>
            <w:pPr>
              <w:widowControl/>
              <w:spacing w:line="240" w:lineRule="exact"/>
              <w:jc w:val="center"/>
              <w:rPr>
                <w:rFonts w:eastAsia="仿宋_GB2312"/>
                <w:kern w:val="0"/>
                <w:sz w:val="24"/>
              </w:rPr>
            </w:pPr>
            <w:r>
              <w:rPr>
                <w:rFonts w:hint="eastAsia"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全年</w:t>
            </w:r>
          </w:p>
          <w:p>
            <w:pPr>
              <w:widowControl/>
              <w:spacing w:line="240" w:lineRule="exact"/>
              <w:jc w:val="center"/>
              <w:rPr>
                <w:rFonts w:eastAsia="仿宋_GB2312"/>
                <w:kern w:val="0"/>
                <w:sz w:val="24"/>
              </w:rPr>
            </w:pPr>
            <w:r>
              <w:rPr>
                <w:rFonts w:hint="eastAsia"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全年</w:t>
            </w:r>
          </w:p>
          <w:p>
            <w:pPr>
              <w:widowControl/>
              <w:spacing w:line="240" w:lineRule="exact"/>
              <w:jc w:val="center"/>
              <w:rPr>
                <w:rFonts w:eastAsia="仿宋_GB2312"/>
                <w:kern w:val="0"/>
                <w:sz w:val="24"/>
              </w:rPr>
            </w:pPr>
            <w:r>
              <w:rPr>
                <w:rFonts w:hint="eastAsia"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hint="eastAsia"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24.6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24.6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22.42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91.14</w:t>
            </w:r>
            <w:r>
              <w:rPr>
                <w:rFonts w:hint="eastAsia" w:eastAsia="仿宋_GB2312"/>
                <w:kern w:val="0"/>
                <w:sz w:val="24"/>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24.6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24.6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22.42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91.14</w:t>
            </w:r>
            <w:r>
              <w:rPr>
                <w:rFonts w:hint="eastAsia" w:eastAsia="仿宋_GB2312"/>
                <w:kern w:val="0"/>
                <w:sz w:val="24"/>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w:t>
            </w:r>
            <w:r>
              <w:rPr>
                <w:rFonts w:hint="eastAsia" w:eastAsia="仿宋_GB2312"/>
                <w:kern w:val="0"/>
                <w:sz w:val="24"/>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w:t>
            </w:r>
            <w:r>
              <w:rPr>
                <w:rFonts w:hint="eastAsia" w:eastAsia="仿宋_GB2312"/>
                <w:kern w:val="0"/>
                <w:sz w:val="24"/>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年度总体目标</w:t>
            </w:r>
          </w:p>
        </w:tc>
        <w:tc>
          <w:tcPr>
            <w:tcW w:w="481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8"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481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通过医疗纠纷调解工作的正常开展，充分发挥医患纠纷第三方调解机制的作用，以服务医患双方为宗旨，扎实有效地开展医疗纠纷人民调解工作。</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通过医疗纠纷调解工作的正常开展，充分发挥医患纠纷第三方调解机制的作用，以服务医患双方为宗旨，扎实有效地开展医疗纠纷人民调解工作。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绩</w:t>
            </w:r>
            <w:r>
              <w:rPr>
                <w:rFonts w:eastAsia="仿宋_GB2312"/>
                <w:kern w:val="0"/>
                <w:sz w:val="24"/>
              </w:rPr>
              <w:br w:type="textWrapping"/>
            </w:r>
            <w:r>
              <w:rPr>
                <w:rFonts w:hint="eastAsia" w:eastAsia="仿宋_GB2312"/>
                <w:kern w:val="0"/>
                <w:sz w:val="24"/>
              </w:rPr>
              <w:t>效</w:t>
            </w:r>
            <w:r>
              <w:rPr>
                <w:rFonts w:eastAsia="仿宋_GB2312"/>
                <w:kern w:val="0"/>
                <w:sz w:val="24"/>
              </w:rPr>
              <w:br w:type="textWrapping"/>
            </w:r>
            <w:r>
              <w:rPr>
                <w:rFonts w:hint="eastAsia" w:eastAsia="仿宋_GB2312"/>
                <w:kern w:val="0"/>
                <w:sz w:val="24"/>
              </w:rPr>
              <w:t>指</w:t>
            </w:r>
            <w:r>
              <w:rPr>
                <w:rFonts w:eastAsia="仿宋_GB2312"/>
                <w:kern w:val="0"/>
                <w:sz w:val="24"/>
              </w:rPr>
              <w:br w:type="textWrapping"/>
            </w:r>
            <w:r>
              <w:rPr>
                <w:rFonts w:hint="eastAsia" w:eastAsia="仿宋_GB2312"/>
                <w:kern w:val="0"/>
                <w:sz w:val="24"/>
              </w:rPr>
              <w:t>标</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一级指标</w:t>
            </w:r>
          </w:p>
        </w:tc>
        <w:tc>
          <w:tcPr>
            <w:tcW w:w="14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年度</w:t>
            </w:r>
          </w:p>
          <w:p>
            <w:pPr>
              <w:widowControl/>
              <w:spacing w:line="240" w:lineRule="exact"/>
              <w:jc w:val="center"/>
              <w:rPr>
                <w:rFonts w:eastAsia="仿宋_GB2312"/>
                <w:kern w:val="0"/>
                <w:sz w:val="24"/>
              </w:rPr>
            </w:pPr>
            <w:r>
              <w:rPr>
                <w:rFonts w:hint="eastAsia" w:eastAsia="仿宋_GB2312"/>
                <w:kern w:val="0"/>
                <w:sz w:val="24"/>
              </w:rPr>
              <w:t>指标值</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实际</w:t>
            </w:r>
          </w:p>
          <w:p>
            <w:pPr>
              <w:widowControl/>
              <w:spacing w:line="240" w:lineRule="exact"/>
              <w:jc w:val="center"/>
              <w:rPr>
                <w:rFonts w:eastAsia="仿宋_GB2312"/>
                <w:kern w:val="0"/>
                <w:sz w:val="24"/>
              </w:rPr>
            </w:pPr>
            <w:r>
              <w:rPr>
                <w:rFonts w:hint="eastAsia" w:eastAsia="仿宋_GB2312"/>
                <w:kern w:val="0"/>
                <w:sz w:val="24"/>
              </w:rPr>
              <w:t>完成值</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产出指标</w:t>
            </w: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指标1：政府购买服务人数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sz w:val="21"/>
                <w:szCs w:val="21"/>
                <w:lang w:val="en-US" w:eastAsia="zh-CN"/>
              </w:rPr>
              <w:t>5人</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5人</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指标2：调解案件数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4件</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4</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指标1：政府购买服务人员</w:t>
            </w:r>
            <w:r>
              <w:rPr>
                <w:rFonts w:hint="eastAsia" w:ascii="仿宋_GB2312" w:hAnsi="仿宋_GB2312" w:eastAsia="仿宋_GB2312" w:cs="仿宋_GB2312"/>
                <w:color w:val="000000"/>
                <w:kern w:val="0"/>
                <w:sz w:val="21"/>
                <w:szCs w:val="21"/>
                <w:lang w:val="en-US" w:eastAsia="zh-CN"/>
              </w:rPr>
              <w:t>出勤率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95%</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100</w:t>
            </w:r>
            <w:r>
              <w:rPr>
                <w:rFonts w:hint="eastAsia" w:ascii="仿宋_GB2312" w:hAnsi="仿宋_GB2312" w:eastAsia="仿宋_GB2312" w:cs="仿宋_GB2312"/>
                <w:kern w:val="0"/>
                <w:sz w:val="21"/>
                <w:szCs w:val="21"/>
              </w:rPr>
              <w:t>%</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r>
              <w:rPr>
                <w:rFonts w:hint="eastAsia" w:ascii="仿宋_GB2312" w:hAnsi="仿宋_GB2312" w:eastAsia="仿宋_GB2312" w:cs="仿宋_GB2312"/>
                <w:color w:val="000000"/>
                <w:kern w:val="0"/>
                <w:sz w:val="21"/>
                <w:szCs w:val="21"/>
                <w:lang w:val="en-US" w:eastAsia="zh-CN"/>
              </w:rPr>
              <w:t>各项工作</w:t>
            </w:r>
            <w:r>
              <w:rPr>
                <w:rFonts w:hint="eastAsia" w:ascii="仿宋_GB2312" w:hAnsi="仿宋_GB2312" w:eastAsia="仿宋_GB2312" w:cs="仿宋_GB2312"/>
                <w:color w:val="000000"/>
                <w:kern w:val="0"/>
                <w:sz w:val="21"/>
                <w:szCs w:val="21"/>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kern w:val="0"/>
                <w:sz w:val="21"/>
                <w:szCs w:val="21"/>
                <w:lang w:val="en-US" w:eastAsia="zh-CN"/>
              </w:rPr>
              <w:t>12月份</w:t>
            </w:r>
          </w:p>
        </w:tc>
        <w:tc>
          <w:tcPr>
            <w:tcW w:w="90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12月份</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指标1：年度总成本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kern w:val="0"/>
                <w:sz w:val="21"/>
                <w:szCs w:val="21"/>
                <w:lang w:val="en-US" w:eastAsia="zh-CN"/>
              </w:rPr>
              <w:t>24.6万元</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22.42万元</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效益指标</w:t>
            </w:r>
          </w:p>
          <w:p>
            <w:pPr>
              <w:widowControl/>
              <w:spacing w:line="240" w:lineRule="exact"/>
              <w:jc w:val="center"/>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经济效益</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社会效益</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指标1：医调委正常运</w:t>
            </w:r>
            <w:r>
              <w:rPr>
                <w:rFonts w:hint="eastAsia" w:ascii="仿宋_GB2312" w:hAnsi="仿宋_GB2312" w:eastAsia="仿宋_GB2312" w:cs="仿宋_GB2312"/>
                <w:color w:val="000000"/>
                <w:kern w:val="0"/>
                <w:sz w:val="21"/>
                <w:szCs w:val="21"/>
                <w:lang w:val="en-US" w:eastAsia="zh-CN"/>
              </w:rPr>
              <w:t>转率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100%</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rPr>
              <w:t>100%</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90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生态效益</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可持续影响</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指标1：成功处置群体性事件数占全部案发数的比率</w:t>
            </w:r>
          </w:p>
        </w:tc>
        <w:tc>
          <w:tcPr>
            <w:tcW w:w="10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90%</w:t>
            </w:r>
          </w:p>
        </w:tc>
        <w:tc>
          <w:tcPr>
            <w:tcW w:w="90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sz w:val="21"/>
                <w:szCs w:val="21"/>
                <w:lang w:val="en-US" w:eastAsia="zh-CN"/>
              </w:rPr>
              <w:t>100%</w:t>
            </w:r>
          </w:p>
        </w:tc>
        <w:tc>
          <w:tcPr>
            <w:tcW w:w="5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满意度</w:t>
            </w:r>
          </w:p>
          <w:p>
            <w:pPr>
              <w:widowControl/>
              <w:spacing w:line="240" w:lineRule="exact"/>
              <w:jc w:val="center"/>
              <w:rPr>
                <w:rFonts w:eastAsia="仿宋_GB2312"/>
                <w:kern w:val="0"/>
                <w:sz w:val="24"/>
              </w:rPr>
            </w:pPr>
            <w:r>
              <w:rPr>
                <w:rFonts w:hint="eastAsia" w:eastAsia="仿宋_GB2312"/>
                <w:kern w:val="0"/>
                <w:sz w:val="24"/>
              </w:rPr>
              <w:t>指标</w:t>
            </w: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r>
              <w:rPr>
                <w:rFonts w:hint="eastAsia" w:ascii="仿宋_GB2312" w:hAnsi="仿宋_GB2312" w:eastAsia="仿宋_GB2312" w:cs="仿宋_GB2312"/>
                <w:color w:val="000000"/>
                <w:kern w:val="0"/>
                <w:sz w:val="21"/>
                <w:szCs w:val="21"/>
                <w:lang w:val="en-US" w:eastAsia="zh-CN"/>
              </w:rPr>
              <w:t>综合满意度</w:t>
            </w:r>
          </w:p>
        </w:tc>
        <w:tc>
          <w:tcPr>
            <w:tcW w:w="1021"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90%</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98%</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指标</w:t>
            </w:r>
            <w:r>
              <w:rPr>
                <w:rFonts w:eastAsia="仿宋_GB2312"/>
                <w:color w:val="000000"/>
                <w:kern w:val="0"/>
                <w:sz w:val="24"/>
              </w:rPr>
              <w:t>2</w:t>
            </w:r>
            <w:r>
              <w:rPr>
                <w:rFonts w:hint="eastAsia"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05"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总分</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lang w:eastAsia="zh-CN"/>
              </w:rPr>
            </w:pPr>
            <w:r>
              <w:rPr>
                <w:rFonts w:hint="eastAsia" w:eastAsia="仿宋_GB2312"/>
                <w:color w:val="000000"/>
                <w:kern w:val="0"/>
                <w:sz w:val="24"/>
                <w:lang w:val="en-US" w:eastAsia="zh-CN"/>
              </w:rPr>
              <w:t>99.1</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7"/>
        <w:tblW w:w="0" w:type="auto"/>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7"/>
        <w:gridCol w:w="627"/>
        <w:gridCol w:w="1467"/>
        <w:gridCol w:w="730"/>
        <w:gridCol w:w="972"/>
        <w:gridCol w:w="28"/>
        <w:gridCol w:w="993"/>
        <w:gridCol w:w="901"/>
        <w:gridCol w:w="222"/>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888" w:hRule="atLeast"/>
        </w:trPr>
        <w:tc>
          <w:tcPr>
            <w:tcW w:w="8839" w:type="dxa"/>
            <w:gridSpan w:val="14"/>
            <w:noWrap w:val="0"/>
            <w:tcMar>
              <w:top w:w="15" w:type="dxa"/>
              <w:left w:w="15" w:type="dxa"/>
              <w:bottom w:w="0" w:type="dxa"/>
              <w:right w:w="15" w:type="dxa"/>
            </w:tcMar>
            <w:vAlign w:val="center"/>
          </w:tcPr>
          <w:p>
            <w:pPr>
              <w:widowControl/>
              <w:jc w:val="center"/>
              <w:textAlignment w:val="center"/>
              <w:rPr>
                <w:rFonts w:eastAsia="仿宋_GB2312"/>
                <w:color w:val="000000"/>
                <w:sz w:val="24"/>
                <w:szCs w:val="28"/>
              </w:rPr>
            </w:pPr>
            <w:r>
              <w:rPr>
                <w:rFonts w:hint="eastAsia"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5" w:type="dxa"/>
            <w:gridSpan w:val="15"/>
            <w:noWrap w:val="0"/>
            <w:vAlign w:val="top"/>
          </w:tcPr>
          <w:p>
            <w:pPr>
              <w:widowControl/>
              <w:spacing w:line="240" w:lineRule="exact"/>
              <w:jc w:val="center"/>
              <w:rPr>
                <w:kern w:val="0"/>
                <w:sz w:val="22"/>
              </w:rPr>
            </w:pPr>
            <w:r>
              <w:rPr>
                <w:rFonts w:hint="eastAsia" w:eastAsia="仿宋_GB2312"/>
                <w:kern w:val="0"/>
                <w:sz w:val="24"/>
              </w:rPr>
              <w:t>（2019年度）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项目名称</w:t>
            </w:r>
          </w:p>
        </w:tc>
        <w:tc>
          <w:tcPr>
            <w:tcW w:w="7651"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社区矫正工作经费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主管部门</w:t>
            </w:r>
          </w:p>
        </w:tc>
        <w:tc>
          <w:tcPr>
            <w:tcW w:w="419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大厂回族</w:t>
            </w:r>
            <w:r>
              <w:rPr>
                <w:rFonts w:hint="eastAsia" w:eastAsia="仿宋_GB2312"/>
                <w:kern w:val="0"/>
                <w:sz w:val="24"/>
                <w:lang w:val="en-US" w:eastAsia="zh-CN"/>
              </w:rPr>
              <w:t>自治县司法局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w:t>
            </w:r>
            <w:r>
              <w:rPr>
                <w:rFonts w:hint="eastAsia" w:eastAsia="仿宋_GB2312"/>
                <w:kern w:val="0"/>
                <w:sz w:val="24"/>
                <w:lang w:val="en-US" w:eastAsia="zh-CN"/>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12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项目资金</w:t>
            </w:r>
            <w:r>
              <w:rPr>
                <w:rFonts w:eastAsia="仿宋_GB2312"/>
                <w:kern w:val="0"/>
                <w:sz w:val="24"/>
              </w:rPr>
              <w:br w:type="textWrapping"/>
            </w:r>
            <w:r>
              <w:rPr>
                <w:rFonts w:hint="eastAsia" w:eastAsia="仿宋_GB2312"/>
                <w:kern w:val="0"/>
                <w:sz w:val="24"/>
              </w:rPr>
              <w:t>（万元）</w:t>
            </w: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年初</w:t>
            </w:r>
          </w:p>
          <w:p>
            <w:pPr>
              <w:widowControl/>
              <w:spacing w:line="240" w:lineRule="exact"/>
              <w:jc w:val="center"/>
              <w:rPr>
                <w:rFonts w:eastAsia="仿宋_GB2312"/>
                <w:kern w:val="0"/>
                <w:sz w:val="24"/>
              </w:rPr>
            </w:pPr>
            <w:r>
              <w:rPr>
                <w:rFonts w:hint="eastAsia"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全年</w:t>
            </w:r>
          </w:p>
          <w:p>
            <w:pPr>
              <w:widowControl/>
              <w:spacing w:line="240" w:lineRule="exact"/>
              <w:jc w:val="center"/>
              <w:rPr>
                <w:rFonts w:eastAsia="仿宋_GB2312"/>
                <w:kern w:val="0"/>
                <w:sz w:val="24"/>
              </w:rPr>
            </w:pPr>
            <w:r>
              <w:rPr>
                <w:rFonts w:hint="eastAsia"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全年</w:t>
            </w:r>
          </w:p>
          <w:p>
            <w:pPr>
              <w:widowControl/>
              <w:spacing w:line="240" w:lineRule="exact"/>
              <w:jc w:val="center"/>
              <w:rPr>
                <w:rFonts w:eastAsia="仿宋_GB2312"/>
                <w:kern w:val="0"/>
                <w:sz w:val="24"/>
              </w:rPr>
            </w:pPr>
            <w:r>
              <w:rPr>
                <w:rFonts w:hint="eastAsia"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hint="eastAsia"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17.31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96.16</w:t>
            </w:r>
            <w:r>
              <w:rPr>
                <w:rFonts w:hint="eastAsia" w:eastAsia="仿宋_GB2312"/>
                <w:kern w:val="0"/>
                <w:sz w:val="24"/>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17.31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96.16</w:t>
            </w:r>
            <w:r>
              <w:rPr>
                <w:rFonts w:hint="eastAsia" w:eastAsia="仿宋_GB2312"/>
                <w:kern w:val="0"/>
                <w:sz w:val="24"/>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w:t>
            </w:r>
            <w:r>
              <w:rPr>
                <w:rFonts w:hint="eastAsia" w:eastAsia="仿宋_GB2312"/>
                <w:kern w:val="0"/>
                <w:sz w:val="24"/>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w:t>
            </w:r>
            <w:r>
              <w:rPr>
                <w:rFonts w:hint="eastAsia" w:eastAsia="仿宋_GB2312"/>
                <w:kern w:val="0"/>
                <w:sz w:val="24"/>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年度总体目标</w:t>
            </w:r>
          </w:p>
        </w:tc>
        <w:tc>
          <w:tcPr>
            <w:tcW w:w="481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8"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481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通过采取多种形式对社区服刑人员进行思想教育、法制教育和道德教育，矫正其不良心理和行为，促使其成为守法公民，以降低社区服刑人员重新犯罪率，维护社会稳定。</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通过采取多种形式对社区服刑人员进行思想教育、法制教育和道德教育，矫正其不良心理和行为，促使其成为守法公民，以降低社区服刑人员重新犯罪率，维护社会稳定。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绩</w:t>
            </w:r>
            <w:r>
              <w:rPr>
                <w:rFonts w:eastAsia="仿宋_GB2312"/>
                <w:kern w:val="0"/>
                <w:sz w:val="24"/>
              </w:rPr>
              <w:br w:type="textWrapping"/>
            </w:r>
            <w:r>
              <w:rPr>
                <w:rFonts w:hint="eastAsia" w:eastAsia="仿宋_GB2312"/>
                <w:kern w:val="0"/>
                <w:sz w:val="24"/>
              </w:rPr>
              <w:t>效</w:t>
            </w:r>
            <w:r>
              <w:rPr>
                <w:rFonts w:eastAsia="仿宋_GB2312"/>
                <w:kern w:val="0"/>
                <w:sz w:val="24"/>
              </w:rPr>
              <w:br w:type="textWrapping"/>
            </w:r>
            <w:r>
              <w:rPr>
                <w:rFonts w:hint="eastAsia" w:eastAsia="仿宋_GB2312"/>
                <w:kern w:val="0"/>
                <w:sz w:val="24"/>
              </w:rPr>
              <w:t>指</w:t>
            </w:r>
            <w:r>
              <w:rPr>
                <w:rFonts w:eastAsia="仿宋_GB2312"/>
                <w:kern w:val="0"/>
                <w:sz w:val="24"/>
              </w:rPr>
              <w:br w:type="textWrapping"/>
            </w:r>
            <w:r>
              <w:rPr>
                <w:rFonts w:hint="eastAsia" w:eastAsia="仿宋_GB2312"/>
                <w:kern w:val="0"/>
                <w:sz w:val="24"/>
              </w:rPr>
              <w:t>标</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一级指标</w:t>
            </w:r>
          </w:p>
        </w:tc>
        <w:tc>
          <w:tcPr>
            <w:tcW w:w="14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年度</w:t>
            </w:r>
          </w:p>
          <w:p>
            <w:pPr>
              <w:widowControl/>
              <w:spacing w:line="240" w:lineRule="exact"/>
              <w:jc w:val="center"/>
              <w:rPr>
                <w:rFonts w:eastAsia="仿宋_GB2312"/>
                <w:kern w:val="0"/>
                <w:sz w:val="24"/>
              </w:rPr>
            </w:pPr>
            <w:r>
              <w:rPr>
                <w:rFonts w:hint="eastAsia" w:eastAsia="仿宋_GB2312"/>
                <w:kern w:val="0"/>
                <w:sz w:val="24"/>
              </w:rPr>
              <w:t>指标值</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实际</w:t>
            </w:r>
          </w:p>
          <w:p>
            <w:pPr>
              <w:widowControl/>
              <w:spacing w:line="240" w:lineRule="exact"/>
              <w:jc w:val="center"/>
              <w:rPr>
                <w:rFonts w:eastAsia="仿宋_GB2312"/>
                <w:kern w:val="0"/>
                <w:sz w:val="24"/>
              </w:rPr>
            </w:pPr>
            <w:r>
              <w:rPr>
                <w:rFonts w:hint="eastAsia" w:eastAsia="仿宋_GB2312"/>
                <w:kern w:val="0"/>
                <w:sz w:val="24"/>
              </w:rPr>
              <w:t>完成值</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产出指标</w:t>
            </w: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r>
              <w:rPr>
                <w:rFonts w:hint="eastAsia" w:ascii="仿宋_GB2312" w:hAnsi="仿宋_GB2312" w:eastAsia="仿宋_GB2312" w:cs="仿宋_GB2312"/>
                <w:color w:val="000000"/>
                <w:kern w:val="0"/>
                <w:sz w:val="21"/>
                <w:szCs w:val="21"/>
                <w:lang w:val="en-US" w:eastAsia="zh-CN"/>
              </w:rPr>
              <w:t>租赁社矫中心用房和社矫基地劳动场地面积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40000平方米</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40113平方米</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指标2：租用网络宽带数量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sz w:val="21"/>
                <w:szCs w:val="21"/>
                <w:lang w:val="en-US" w:eastAsia="zh-CN"/>
              </w:rPr>
              <w:t>7条</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7条</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r>
              <w:rPr>
                <w:rFonts w:hint="eastAsia" w:ascii="仿宋_GB2312" w:hAnsi="仿宋_GB2312" w:eastAsia="仿宋_GB2312" w:cs="仿宋_GB2312"/>
                <w:color w:val="000000"/>
                <w:kern w:val="0"/>
                <w:sz w:val="21"/>
                <w:szCs w:val="21"/>
                <w:lang w:val="en-US" w:eastAsia="zh-CN"/>
              </w:rPr>
              <w:t>租赁场地完好率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98%</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100</w:t>
            </w:r>
            <w:r>
              <w:rPr>
                <w:rFonts w:hint="eastAsia" w:ascii="仿宋_GB2312" w:hAnsi="仿宋_GB2312" w:eastAsia="仿宋_GB2312" w:cs="仿宋_GB2312"/>
                <w:kern w:val="0"/>
                <w:sz w:val="21"/>
                <w:szCs w:val="21"/>
              </w:rPr>
              <w:t>%</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r>
              <w:rPr>
                <w:rFonts w:hint="eastAsia" w:ascii="仿宋_GB2312" w:hAnsi="仿宋_GB2312" w:eastAsia="仿宋_GB2312" w:cs="仿宋_GB2312"/>
                <w:color w:val="000000"/>
                <w:kern w:val="0"/>
                <w:sz w:val="21"/>
                <w:szCs w:val="21"/>
                <w:lang w:val="en-US" w:eastAsia="zh-CN"/>
              </w:rPr>
              <w:t>各项工作</w:t>
            </w:r>
            <w:r>
              <w:rPr>
                <w:rFonts w:hint="eastAsia" w:ascii="仿宋_GB2312" w:hAnsi="仿宋_GB2312" w:eastAsia="仿宋_GB2312" w:cs="仿宋_GB2312"/>
                <w:color w:val="000000"/>
                <w:kern w:val="0"/>
                <w:sz w:val="21"/>
                <w:szCs w:val="21"/>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kern w:val="0"/>
                <w:sz w:val="21"/>
                <w:szCs w:val="21"/>
                <w:lang w:val="en-US" w:eastAsia="zh-CN"/>
              </w:rPr>
              <w:t>12月份</w:t>
            </w:r>
          </w:p>
        </w:tc>
        <w:tc>
          <w:tcPr>
            <w:tcW w:w="90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12月份</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指标1：年度总成本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kern w:val="0"/>
                <w:sz w:val="21"/>
                <w:szCs w:val="21"/>
                <w:lang w:val="en-US" w:eastAsia="zh-CN"/>
              </w:rPr>
              <w:t>18万元</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17.31万元</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效益指标</w:t>
            </w:r>
          </w:p>
          <w:p>
            <w:pPr>
              <w:widowControl/>
              <w:spacing w:line="240" w:lineRule="exact"/>
              <w:jc w:val="center"/>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经济效益</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社会效益</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r>
              <w:rPr>
                <w:rFonts w:hint="eastAsia" w:ascii="仿宋_GB2312" w:hAnsi="仿宋_GB2312" w:eastAsia="仿宋_GB2312" w:cs="仿宋_GB2312"/>
                <w:color w:val="000000"/>
                <w:kern w:val="0"/>
                <w:sz w:val="21"/>
                <w:szCs w:val="21"/>
                <w:lang w:val="en-US" w:eastAsia="zh-CN"/>
              </w:rPr>
              <w:t>社区矫正人数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60人</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lang w:val="en-US" w:eastAsia="zh-CN"/>
              </w:rPr>
              <w:t>68人</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90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生态效益</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可持续影响</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r>
              <w:rPr>
                <w:rFonts w:hint="eastAsia" w:ascii="仿宋_GB2312" w:hAnsi="仿宋_GB2312" w:eastAsia="仿宋_GB2312" w:cs="仿宋_GB2312"/>
                <w:color w:val="000000"/>
                <w:kern w:val="0"/>
                <w:sz w:val="21"/>
                <w:szCs w:val="21"/>
                <w:lang w:val="en-US" w:eastAsia="zh-CN"/>
              </w:rPr>
              <w:t>再犯罪率</w:t>
            </w:r>
          </w:p>
        </w:tc>
        <w:tc>
          <w:tcPr>
            <w:tcW w:w="10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sz w:val="21"/>
                <w:szCs w:val="21"/>
                <w:lang w:val="en-US" w:eastAsia="zh-CN"/>
              </w:rPr>
              <w:t>＜2‰</w:t>
            </w:r>
          </w:p>
        </w:tc>
        <w:tc>
          <w:tcPr>
            <w:tcW w:w="90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sz w:val="21"/>
                <w:szCs w:val="21"/>
                <w:lang w:val="en-US" w:eastAsia="zh-CN"/>
              </w:rPr>
              <w:t>0</w:t>
            </w:r>
          </w:p>
        </w:tc>
        <w:tc>
          <w:tcPr>
            <w:tcW w:w="5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满意度</w:t>
            </w:r>
          </w:p>
          <w:p>
            <w:pPr>
              <w:widowControl/>
              <w:spacing w:line="240" w:lineRule="exact"/>
              <w:jc w:val="center"/>
              <w:rPr>
                <w:rFonts w:eastAsia="仿宋_GB2312"/>
                <w:kern w:val="0"/>
                <w:sz w:val="24"/>
              </w:rPr>
            </w:pPr>
            <w:r>
              <w:rPr>
                <w:rFonts w:hint="eastAsia" w:eastAsia="仿宋_GB2312"/>
                <w:kern w:val="0"/>
                <w:sz w:val="24"/>
              </w:rPr>
              <w:t>指标</w:t>
            </w: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r>
              <w:rPr>
                <w:rFonts w:hint="eastAsia" w:ascii="仿宋_GB2312" w:hAnsi="仿宋_GB2312" w:eastAsia="仿宋_GB2312" w:cs="仿宋_GB2312"/>
                <w:color w:val="000000"/>
                <w:kern w:val="0"/>
                <w:sz w:val="21"/>
                <w:szCs w:val="21"/>
                <w:lang w:val="en-US" w:eastAsia="zh-CN"/>
              </w:rPr>
              <w:t>综合满意度</w:t>
            </w:r>
          </w:p>
        </w:tc>
        <w:tc>
          <w:tcPr>
            <w:tcW w:w="1021"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90%</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95%</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指标</w:t>
            </w:r>
            <w:r>
              <w:rPr>
                <w:rFonts w:eastAsia="仿宋_GB2312"/>
                <w:color w:val="000000"/>
                <w:kern w:val="0"/>
                <w:sz w:val="24"/>
              </w:rPr>
              <w:t>2</w:t>
            </w:r>
            <w:r>
              <w:rPr>
                <w:rFonts w:hint="eastAsia"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05"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总分</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lang w:eastAsia="zh-CN"/>
              </w:rPr>
            </w:pPr>
            <w:r>
              <w:rPr>
                <w:rFonts w:hint="eastAsia" w:eastAsia="仿宋_GB2312"/>
                <w:color w:val="000000"/>
                <w:kern w:val="0"/>
                <w:sz w:val="24"/>
                <w:lang w:val="en-US" w:eastAsia="zh-CN"/>
              </w:rPr>
              <w:t>99.6</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7"/>
        <w:tblW w:w="0" w:type="auto"/>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7"/>
        <w:gridCol w:w="627"/>
        <w:gridCol w:w="1467"/>
        <w:gridCol w:w="730"/>
        <w:gridCol w:w="972"/>
        <w:gridCol w:w="28"/>
        <w:gridCol w:w="993"/>
        <w:gridCol w:w="901"/>
        <w:gridCol w:w="222"/>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888" w:hRule="atLeast"/>
        </w:trPr>
        <w:tc>
          <w:tcPr>
            <w:tcW w:w="8839" w:type="dxa"/>
            <w:gridSpan w:val="14"/>
            <w:noWrap w:val="0"/>
            <w:tcMar>
              <w:top w:w="15" w:type="dxa"/>
              <w:left w:w="15" w:type="dxa"/>
              <w:bottom w:w="0" w:type="dxa"/>
              <w:right w:w="15" w:type="dxa"/>
            </w:tcMar>
            <w:vAlign w:val="center"/>
          </w:tcPr>
          <w:p>
            <w:pPr>
              <w:widowControl/>
              <w:jc w:val="center"/>
              <w:textAlignment w:val="center"/>
              <w:rPr>
                <w:rFonts w:eastAsia="仿宋_GB2312"/>
                <w:color w:val="000000"/>
                <w:sz w:val="24"/>
                <w:szCs w:val="28"/>
              </w:rPr>
            </w:pPr>
            <w:r>
              <w:rPr>
                <w:rFonts w:hint="eastAsia"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5" w:type="dxa"/>
            <w:gridSpan w:val="15"/>
            <w:noWrap w:val="0"/>
            <w:vAlign w:val="top"/>
          </w:tcPr>
          <w:p>
            <w:pPr>
              <w:widowControl/>
              <w:spacing w:line="240" w:lineRule="exact"/>
              <w:jc w:val="center"/>
              <w:rPr>
                <w:kern w:val="0"/>
                <w:sz w:val="22"/>
              </w:rPr>
            </w:pPr>
            <w:r>
              <w:rPr>
                <w:rFonts w:hint="eastAsia" w:eastAsia="仿宋_GB2312"/>
                <w:kern w:val="0"/>
                <w:sz w:val="24"/>
              </w:rPr>
              <w:t>（2019年度）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项目名称</w:t>
            </w:r>
          </w:p>
        </w:tc>
        <w:tc>
          <w:tcPr>
            <w:tcW w:w="7651"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全县法制培训经费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主管部门</w:t>
            </w:r>
          </w:p>
        </w:tc>
        <w:tc>
          <w:tcPr>
            <w:tcW w:w="419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大厂回族</w:t>
            </w:r>
            <w:r>
              <w:rPr>
                <w:rFonts w:hint="eastAsia" w:eastAsia="仿宋_GB2312"/>
                <w:kern w:val="0"/>
                <w:sz w:val="24"/>
                <w:lang w:val="en-US" w:eastAsia="zh-CN"/>
              </w:rPr>
              <w:t>自治县司法局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w:t>
            </w:r>
            <w:r>
              <w:rPr>
                <w:rFonts w:hint="eastAsia" w:eastAsia="仿宋_GB2312"/>
                <w:kern w:val="0"/>
                <w:sz w:val="24"/>
                <w:lang w:val="en-US" w:eastAsia="zh-CN"/>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12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项目资金</w:t>
            </w:r>
            <w:r>
              <w:rPr>
                <w:rFonts w:eastAsia="仿宋_GB2312"/>
                <w:kern w:val="0"/>
                <w:sz w:val="24"/>
              </w:rPr>
              <w:br w:type="textWrapping"/>
            </w:r>
            <w:r>
              <w:rPr>
                <w:rFonts w:hint="eastAsia" w:eastAsia="仿宋_GB2312"/>
                <w:kern w:val="0"/>
                <w:sz w:val="24"/>
              </w:rPr>
              <w:t>（万元）</w:t>
            </w: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年初</w:t>
            </w:r>
          </w:p>
          <w:p>
            <w:pPr>
              <w:widowControl/>
              <w:spacing w:line="240" w:lineRule="exact"/>
              <w:jc w:val="center"/>
              <w:rPr>
                <w:rFonts w:eastAsia="仿宋_GB2312"/>
                <w:kern w:val="0"/>
                <w:sz w:val="24"/>
              </w:rPr>
            </w:pPr>
            <w:r>
              <w:rPr>
                <w:rFonts w:hint="eastAsia"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全年</w:t>
            </w:r>
          </w:p>
          <w:p>
            <w:pPr>
              <w:widowControl/>
              <w:spacing w:line="240" w:lineRule="exact"/>
              <w:jc w:val="center"/>
              <w:rPr>
                <w:rFonts w:eastAsia="仿宋_GB2312"/>
                <w:kern w:val="0"/>
                <w:sz w:val="24"/>
              </w:rPr>
            </w:pPr>
            <w:r>
              <w:rPr>
                <w:rFonts w:hint="eastAsia"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全年</w:t>
            </w:r>
          </w:p>
          <w:p>
            <w:pPr>
              <w:widowControl/>
              <w:spacing w:line="240" w:lineRule="exact"/>
              <w:jc w:val="center"/>
              <w:rPr>
                <w:rFonts w:eastAsia="仿宋_GB2312"/>
                <w:kern w:val="0"/>
                <w:sz w:val="24"/>
              </w:rPr>
            </w:pPr>
            <w:r>
              <w:rPr>
                <w:rFonts w:hint="eastAsia"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hint="eastAsia"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r>
              <w:rPr>
                <w:rFonts w:hint="eastAsia" w:eastAsia="仿宋_GB2312"/>
                <w:kern w:val="0"/>
                <w:sz w:val="24"/>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r>
              <w:rPr>
                <w:rFonts w:hint="eastAsia" w:eastAsia="仿宋_GB2312"/>
                <w:kern w:val="0"/>
                <w:sz w:val="24"/>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w:t>
            </w:r>
            <w:r>
              <w:rPr>
                <w:rFonts w:hint="eastAsia" w:eastAsia="仿宋_GB2312"/>
                <w:kern w:val="0"/>
                <w:sz w:val="24"/>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w:t>
            </w:r>
            <w:r>
              <w:rPr>
                <w:rFonts w:hint="eastAsia" w:eastAsia="仿宋_GB2312"/>
                <w:kern w:val="0"/>
                <w:sz w:val="24"/>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年度总体目标</w:t>
            </w:r>
          </w:p>
        </w:tc>
        <w:tc>
          <w:tcPr>
            <w:tcW w:w="481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8"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481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通过培训，全面提高各级领导干部的法治思维和执政能力，提高全县执法人员的执法能力和水平。</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通过培训，全面提高各级领导干部的法治思维和执政能力，提高全县执法人员的执法能力和水平。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绩</w:t>
            </w:r>
            <w:r>
              <w:rPr>
                <w:rFonts w:eastAsia="仿宋_GB2312"/>
                <w:kern w:val="0"/>
                <w:sz w:val="24"/>
              </w:rPr>
              <w:br w:type="textWrapping"/>
            </w:r>
            <w:r>
              <w:rPr>
                <w:rFonts w:hint="eastAsia" w:eastAsia="仿宋_GB2312"/>
                <w:kern w:val="0"/>
                <w:sz w:val="24"/>
              </w:rPr>
              <w:t>效</w:t>
            </w:r>
            <w:r>
              <w:rPr>
                <w:rFonts w:eastAsia="仿宋_GB2312"/>
                <w:kern w:val="0"/>
                <w:sz w:val="24"/>
              </w:rPr>
              <w:br w:type="textWrapping"/>
            </w:r>
            <w:r>
              <w:rPr>
                <w:rFonts w:hint="eastAsia" w:eastAsia="仿宋_GB2312"/>
                <w:kern w:val="0"/>
                <w:sz w:val="24"/>
              </w:rPr>
              <w:t>指</w:t>
            </w:r>
            <w:r>
              <w:rPr>
                <w:rFonts w:eastAsia="仿宋_GB2312"/>
                <w:kern w:val="0"/>
                <w:sz w:val="24"/>
              </w:rPr>
              <w:br w:type="textWrapping"/>
            </w:r>
            <w:r>
              <w:rPr>
                <w:rFonts w:hint="eastAsia" w:eastAsia="仿宋_GB2312"/>
                <w:kern w:val="0"/>
                <w:sz w:val="24"/>
              </w:rPr>
              <w:t>标</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一级指标</w:t>
            </w:r>
          </w:p>
        </w:tc>
        <w:tc>
          <w:tcPr>
            <w:tcW w:w="14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年度</w:t>
            </w:r>
          </w:p>
          <w:p>
            <w:pPr>
              <w:widowControl/>
              <w:spacing w:line="240" w:lineRule="exact"/>
              <w:jc w:val="center"/>
              <w:rPr>
                <w:rFonts w:eastAsia="仿宋_GB2312"/>
                <w:kern w:val="0"/>
                <w:sz w:val="24"/>
              </w:rPr>
            </w:pPr>
            <w:r>
              <w:rPr>
                <w:rFonts w:hint="eastAsia" w:eastAsia="仿宋_GB2312"/>
                <w:kern w:val="0"/>
                <w:sz w:val="24"/>
              </w:rPr>
              <w:t>指标值</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实际</w:t>
            </w:r>
          </w:p>
          <w:p>
            <w:pPr>
              <w:widowControl/>
              <w:spacing w:line="240" w:lineRule="exact"/>
              <w:jc w:val="center"/>
              <w:rPr>
                <w:rFonts w:eastAsia="仿宋_GB2312"/>
                <w:kern w:val="0"/>
                <w:sz w:val="24"/>
              </w:rPr>
            </w:pPr>
            <w:r>
              <w:rPr>
                <w:rFonts w:hint="eastAsia" w:eastAsia="仿宋_GB2312"/>
                <w:kern w:val="0"/>
                <w:sz w:val="24"/>
              </w:rPr>
              <w:t>完成值</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产出指标</w:t>
            </w: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r>
              <w:rPr>
                <w:rFonts w:hint="eastAsia" w:ascii="仿宋_GB2312" w:hAnsi="仿宋_GB2312" w:eastAsia="仿宋_GB2312" w:cs="仿宋_GB2312"/>
                <w:color w:val="000000"/>
                <w:kern w:val="0"/>
                <w:sz w:val="21"/>
                <w:szCs w:val="21"/>
                <w:lang w:val="en-US" w:eastAsia="zh-CN"/>
              </w:rPr>
              <w:t>培训参加人次</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700</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800</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指标2：培训教材数量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80本</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80</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r>
              <w:rPr>
                <w:rFonts w:hint="eastAsia" w:ascii="仿宋_GB2312" w:hAnsi="仿宋_GB2312" w:eastAsia="仿宋_GB2312" w:cs="仿宋_GB2312"/>
                <w:color w:val="000000"/>
                <w:kern w:val="0"/>
                <w:sz w:val="21"/>
                <w:szCs w:val="21"/>
                <w:lang w:val="en-US" w:eastAsia="zh-CN"/>
              </w:rPr>
              <w:t>培训合格率（%）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100</w:t>
            </w:r>
            <w:r>
              <w:rPr>
                <w:rFonts w:hint="eastAsia" w:ascii="仿宋_GB2312" w:hAnsi="仿宋_GB2312" w:eastAsia="仿宋_GB2312" w:cs="仿宋_GB2312"/>
                <w:kern w:val="0"/>
                <w:sz w:val="21"/>
                <w:szCs w:val="21"/>
              </w:rPr>
              <w:t>%</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100</w:t>
            </w:r>
            <w:r>
              <w:rPr>
                <w:rFonts w:hint="eastAsia" w:ascii="仿宋_GB2312" w:hAnsi="仿宋_GB2312" w:eastAsia="仿宋_GB2312" w:cs="仿宋_GB2312"/>
                <w:kern w:val="0"/>
                <w:sz w:val="21"/>
                <w:szCs w:val="21"/>
              </w:rPr>
              <w:t>%</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r>
              <w:rPr>
                <w:rFonts w:hint="eastAsia" w:ascii="仿宋_GB2312" w:hAnsi="仿宋_GB2312" w:eastAsia="仿宋_GB2312" w:cs="仿宋_GB2312"/>
                <w:color w:val="000000"/>
                <w:kern w:val="0"/>
                <w:sz w:val="21"/>
                <w:szCs w:val="21"/>
                <w:lang w:val="en-US" w:eastAsia="zh-CN"/>
              </w:rPr>
              <w:t>各项工作</w:t>
            </w:r>
            <w:r>
              <w:rPr>
                <w:rFonts w:hint="eastAsia" w:ascii="仿宋_GB2312" w:hAnsi="仿宋_GB2312" w:eastAsia="仿宋_GB2312" w:cs="仿宋_GB2312"/>
                <w:color w:val="000000"/>
                <w:kern w:val="0"/>
                <w:sz w:val="21"/>
                <w:szCs w:val="21"/>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kern w:val="0"/>
                <w:sz w:val="21"/>
                <w:szCs w:val="21"/>
                <w:lang w:val="en-US" w:eastAsia="zh-CN"/>
              </w:rPr>
              <w:t>11月份</w:t>
            </w:r>
          </w:p>
        </w:tc>
        <w:tc>
          <w:tcPr>
            <w:tcW w:w="90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10月份</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指标1：年度总成本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kern w:val="0"/>
                <w:sz w:val="21"/>
                <w:szCs w:val="21"/>
                <w:lang w:val="en-US" w:eastAsia="zh-CN"/>
              </w:rPr>
              <w:t>5万元</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5万元</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效益指标</w:t>
            </w:r>
          </w:p>
          <w:p>
            <w:pPr>
              <w:widowControl/>
              <w:spacing w:line="240" w:lineRule="exact"/>
              <w:jc w:val="center"/>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经济效益</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社会效益</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r>
              <w:rPr>
                <w:rFonts w:hint="eastAsia" w:ascii="仿宋_GB2312" w:hAnsi="仿宋_GB2312" w:eastAsia="仿宋_GB2312" w:cs="仿宋_GB2312"/>
                <w:color w:val="000000"/>
                <w:kern w:val="0"/>
                <w:sz w:val="21"/>
                <w:szCs w:val="21"/>
                <w:lang w:val="en-US" w:eastAsia="zh-CN"/>
              </w:rPr>
              <w:t>执法行为合格率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100</w:t>
            </w:r>
            <w:r>
              <w:rPr>
                <w:rFonts w:hint="eastAsia" w:ascii="仿宋_GB2312" w:hAnsi="仿宋_GB2312" w:eastAsia="仿宋_GB2312" w:cs="仿宋_GB2312"/>
                <w:kern w:val="0"/>
                <w:sz w:val="21"/>
                <w:szCs w:val="21"/>
              </w:rPr>
              <w:t>%</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lang w:val="en-US" w:eastAsia="zh-CN"/>
              </w:rPr>
              <w:t>100%</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指标2：受训学员持证上岗率（%）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100</w:t>
            </w:r>
            <w:r>
              <w:rPr>
                <w:rFonts w:hint="eastAsia" w:ascii="仿宋_GB2312" w:hAnsi="仿宋_GB2312" w:eastAsia="仿宋_GB2312" w:cs="仿宋_GB2312"/>
                <w:kern w:val="0"/>
                <w:sz w:val="21"/>
                <w:szCs w:val="21"/>
              </w:rPr>
              <w:t>%</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100%</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生态效益</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可持续影响</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p>
        </w:tc>
        <w:tc>
          <w:tcPr>
            <w:tcW w:w="90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p>
        </w:tc>
        <w:tc>
          <w:tcPr>
            <w:tcW w:w="5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满意度</w:t>
            </w:r>
          </w:p>
          <w:p>
            <w:pPr>
              <w:widowControl/>
              <w:spacing w:line="240" w:lineRule="exact"/>
              <w:jc w:val="center"/>
              <w:rPr>
                <w:rFonts w:eastAsia="仿宋_GB2312"/>
                <w:kern w:val="0"/>
                <w:sz w:val="24"/>
              </w:rPr>
            </w:pPr>
            <w:r>
              <w:rPr>
                <w:rFonts w:hint="eastAsia" w:eastAsia="仿宋_GB2312"/>
                <w:kern w:val="0"/>
                <w:sz w:val="24"/>
              </w:rPr>
              <w:t>指标</w:t>
            </w: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r>
              <w:rPr>
                <w:rFonts w:hint="eastAsia" w:ascii="仿宋_GB2312" w:hAnsi="仿宋_GB2312" w:eastAsia="仿宋_GB2312" w:cs="仿宋_GB2312"/>
                <w:color w:val="000000"/>
                <w:kern w:val="0"/>
                <w:sz w:val="21"/>
                <w:szCs w:val="21"/>
                <w:lang w:val="en-US" w:eastAsia="zh-CN"/>
              </w:rPr>
              <w:t>综合满意度</w:t>
            </w:r>
          </w:p>
        </w:tc>
        <w:tc>
          <w:tcPr>
            <w:tcW w:w="1021"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90%</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95%</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指标</w:t>
            </w:r>
            <w:r>
              <w:rPr>
                <w:rFonts w:eastAsia="仿宋_GB2312"/>
                <w:color w:val="000000"/>
                <w:kern w:val="0"/>
                <w:sz w:val="24"/>
              </w:rPr>
              <w:t>2</w:t>
            </w:r>
            <w:r>
              <w:rPr>
                <w:rFonts w:hint="eastAsia"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05"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总分</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7"/>
        <w:tblW w:w="0" w:type="auto"/>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7"/>
        <w:gridCol w:w="627"/>
        <w:gridCol w:w="1467"/>
        <w:gridCol w:w="730"/>
        <w:gridCol w:w="972"/>
        <w:gridCol w:w="28"/>
        <w:gridCol w:w="993"/>
        <w:gridCol w:w="901"/>
        <w:gridCol w:w="222"/>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888" w:hRule="atLeast"/>
        </w:trPr>
        <w:tc>
          <w:tcPr>
            <w:tcW w:w="8839" w:type="dxa"/>
            <w:gridSpan w:val="14"/>
            <w:noWrap w:val="0"/>
            <w:tcMar>
              <w:top w:w="15" w:type="dxa"/>
              <w:left w:w="15" w:type="dxa"/>
              <w:bottom w:w="0" w:type="dxa"/>
              <w:right w:w="15" w:type="dxa"/>
            </w:tcMar>
            <w:vAlign w:val="center"/>
          </w:tcPr>
          <w:p>
            <w:pPr>
              <w:widowControl/>
              <w:jc w:val="center"/>
              <w:textAlignment w:val="center"/>
              <w:rPr>
                <w:rFonts w:eastAsia="仿宋_GB2312"/>
                <w:color w:val="000000"/>
                <w:sz w:val="24"/>
                <w:szCs w:val="28"/>
              </w:rPr>
            </w:pPr>
            <w:r>
              <w:rPr>
                <w:rFonts w:hint="eastAsia"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5" w:type="dxa"/>
            <w:gridSpan w:val="15"/>
            <w:noWrap w:val="0"/>
            <w:vAlign w:val="top"/>
          </w:tcPr>
          <w:p>
            <w:pPr>
              <w:widowControl/>
              <w:spacing w:line="240" w:lineRule="exact"/>
              <w:jc w:val="center"/>
              <w:rPr>
                <w:kern w:val="0"/>
                <w:sz w:val="22"/>
              </w:rPr>
            </w:pPr>
            <w:r>
              <w:rPr>
                <w:rFonts w:hint="eastAsia" w:eastAsia="仿宋_GB2312"/>
                <w:kern w:val="0"/>
                <w:sz w:val="24"/>
              </w:rPr>
              <w:t>（2019年度）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项目名称</w:t>
            </w:r>
          </w:p>
        </w:tc>
        <w:tc>
          <w:tcPr>
            <w:tcW w:w="7651"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法制办行政复议工作经费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主管部门</w:t>
            </w:r>
          </w:p>
        </w:tc>
        <w:tc>
          <w:tcPr>
            <w:tcW w:w="419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大厂回族</w:t>
            </w:r>
            <w:r>
              <w:rPr>
                <w:rFonts w:hint="eastAsia" w:eastAsia="仿宋_GB2312"/>
                <w:kern w:val="0"/>
                <w:sz w:val="24"/>
                <w:lang w:val="en-US" w:eastAsia="zh-CN"/>
              </w:rPr>
              <w:t>自治县司法局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w:t>
            </w:r>
            <w:r>
              <w:rPr>
                <w:rFonts w:hint="eastAsia" w:eastAsia="仿宋_GB2312"/>
                <w:kern w:val="0"/>
                <w:sz w:val="24"/>
                <w:lang w:val="en-US" w:eastAsia="zh-CN"/>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12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项目资金</w:t>
            </w:r>
            <w:r>
              <w:rPr>
                <w:rFonts w:eastAsia="仿宋_GB2312"/>
                <w:kern w:val="0"/>
                <w:sz w:val="24"/>
              </w:rPr>
              <w:br w:type="textWrapping"/>
            </w:r>
            <w:r>
              <w:rPr>
                <w:rFonts w:hint="eastAsia" w:eastAsia="仿宋_GB2312"/>
                <w:kern w:val="0"/>
                <w:sz w:val="24"/>
              </w:rPr>
              <w:t>（万元）</w:t>
            </w: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年初</w:t>
            </w:r>
          </w:p>
          <w:p>
            <w:pPr>
              <w:widowControl/>
              <w:spacing w:line="240" w:lineRule="exact"/>
              <w:jc w:val="center"/>
              <w:rPr>
                <w:rFonts w:eastAsia="仿宋_GB2312"/>
                <w:kern w:val="0"/>
                <w:sz w:val="24"/>
              </w:rPr>
            </w:pPr>
            <w:r>
              <w:rPr>
                <w:rFonts w:hint="eastAsia"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全年</w:t>
            </w:r>
          </w:p>
          <w:p>
            <w:pPr>
              <w:widowControl/>
              <w:spacing w:line="240" w:lineRule="exact"/>
              <w:jc w:val="center"/>
              <w:rPr>
                <w:rFonts w:eastAsia="仿宋_GB2312"/>
                <w:kern w:val="0"/>
                <w:sz w:val="24"/>
              </w:rPr>
            </w:pPr>
            <w:r>
              <w:rPr>
                <w:rFonts w:hint="eastAsia"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全年</w:t>
            </w:r>
          </w:p>
          <w:p>
            <w:pPr>
              <w:widowControl/>
              <w:spacing w:line="240" w:lineRule="exact"/>
              <w:jc w:val="center"/>
              <w:rPr>
                <w:rFonts w:eastAsia="仿宋_GB2312"/>
                <w:kern w:val="0"/>
                <w:sz w:val="24"/>
              </w:rPr>
            </w:pPr>
            <w:r>
              <w:rPr>
                <w:rFonts w:hint="eastAsia"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hint="eastAsia"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r>
              <w:rPr>
                <w:rFonts w:hint="eastAsia" w:eastAsia="仿宋_GB2312"/>
                <w:kern w:val="0"/>
                <w:sz w:val="24"/>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r>
              <w:rPr>
                <w:rFonts w:hint="eastAsia" w:eastAsia="仿宋_GB2312"/>
                <w:kern w:val="0"/>
                <w:sz w:val="24"/>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w:t>
            </w:r>
            <w:r>
              <w:rPr>
                <w:rFonts w:hint="eastAsia" w:eastAsia="仿宋_GB2312"/>
                <w:kern w:val="0"/>
                <w:sz w:val="24"/>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1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w:t>
            </w:r>
            <w:r>
              <w:rPr>
                <w:rFonts w:hint="eastAsia" w:eastAsia="仿宋_GB2312"/>
                <w:kern w:val="0"/>
                <w:sz w:val="24"/>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年度总体目标</w:t>
            </w:r>
          </w:p>
        </w:tc>
        <w:tc>
          <w:tcPr>
            <w:tcW w:w="481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8"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481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为了加快法治政府建设，坚持依法依规化解矛盾的原则，使政府决策更加科学，合法，合理，指制度建设更加法制化，努力加快法治政府建设的步伐。</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为了加快法治政府建设，坚持依法依规化解矛盾的原则，使政府决策更加科学，合法，合理，指制度建设更加法制化，努力加快法治政府建设的步伐。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绩</w:t>
            </w:r>
            <w:r>
              <w:rPr>
                <w:rFonts w:eastAsia="仿宋_GB2312"/>
                <w:kern w:val="0"/>
                <w:sz w:val="24"/>
              </w:rPr>
              <w:br w:type="textWrapping"/>
            </w:r>
            <w:r>
              <w:rPr>
                <w:rFonts w:hint="eastAsia" w:eastAsia="仿宋_GB2312"/>
                <w:kern w:val="0"/>
                <w:sz w:val="24"/>
              </w:rPr>
              <w:t>效</w:t>
            </w:r>
            <w:r>
              <w:rPr>
                <w:rFonts w:eastAsia="仿宋_GB2312"/>
                <w:kern w:val="0"/>
                <w:sz w:val="24"/>
              </w:rPr>
              <w:br w:type="textWrapping"/>
            </w:r>
            <w:r>
              <w:rPr>
                <w:rFonts w:hint="eastAsia" w:eastAsia="仿宋_GB2312"/>
                <w:kern w:val="0"/>
                <w:sz w:val="24"/>
              </w:rPr>
              <w:t>指</w:t>
            </w:r>
            <w:r>
              <w:rPr>
                <w:rFonts w:eastAsia="仿宋_GB2312"/>
                <w:kern w:val="0"/>
                <w:sz w:val="24"/>
              </w:rPr>
              <w:br w:type="textWrapping"/>
            </w:r>
            <w:r>
              <w:rPr>
                <w:rFonts w:hint="eastAsia" w:eastAsia="仿宋_GB2312"/>
                <w:kern w:val="0"/>
                <w:sz w:val="24"/>
              </w:rPr>
              <w:t>标</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一级指标</w:t>
            </w:r>
          </w:p>
        </w:tc>
        <w:tc>
          <w:tcPr>
            <w:tcW w:w="14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年度</w:t>
            </w:r>
          </w:p>
          <w:p>
            <w:pPr>
              <w:widowControl/>
              <w:spacing w:line="240" w:lineRule="exact"/>
              <w:jc w:val="center"/>
              <w:rPr>
                <w:rFonts w:eastAsia="仿宋_GB2312"/>
                <w:kern w:val="0"/>
                <w:sz w:val="24"/>
              </w:rPr>
            </w:pPr>
            <w:r>
              <w:rPr>
                <w:rFonts w:hint="eastAsia" w:eastAsia="仿宋_GB2312"/>
                <w:kern w:val="0"/>
                <w:sz w:val="24"/>
              </w:rPr>
              <w:t>指标值</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实际</w:t>
            </w:r>
          </w:p>
          <w:p>
            <w:pPr>
              <w:widowControl/>
              <w:spacing w:line="240" w:lineRule="exact"/>
              <w:jc w:val="center"/>
              <w:rPr>
                <w:rFonts w:eastAsia="仿宋_GB2312"/>
                <w:kern w:val="0"/>
                <w:sz w:val="24"/>
              </w:rPr>
            </w:pPr>
            <w:r>
              <w:rPr>
                <w:rFonts w:hint="eastAsia" w:eastAsia="仿宋_GB2312"/>
                <w:kern w:val="0"/>
                <w:sz w:val="24"/>
              </w:rPr>
              <w:t>完成值</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产出指标</w:t>
            </w: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r>
              <w:rPr>
                <w:rFonts w:hint="eastAsia" w:ascii="仿宋_GB2312" w:hAnsi="仿宋_GB2312" w:eastAsia="仿宋_GB2312" w:cs="仿宋_GB2312"/>
                <w:color w:val="000000"/>
                <w:kern w:val="0"/>
                <w:sz w:val="21"/>
                <w:szCs w:val="21"/>
                <w:lang w:val="en-US" w:eastAsia="zh-CN"/>
              </w:rPr>
              <w:t>律师人数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sz w:val="21"/>
                <w:szCs w:val="21"/>
                <w:lang w:val="en-US" w:eastAsia="zh-CN"/>
              </w:rPr>
              <w:t>10人</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10人</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指标2：办理行政复议案件数量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10件</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10件</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r>
              <w:rPr>
                <w:rFonts w:hint="eastAsia" w:ascii="仿宋_GB2312" w:hAnsi="仿宋_GB2312" w:eastAsia="仿宋_GB2312" w:cs="仿宋_GB2312"/>
                <w:color w:val="000000"/>
                <w:kern w:val="0"/>
                <w:sz w:val="21"/>
                <w:szCs w:val="21"/>
                <w:lang w:val="en-US" w:eastAsia="zh-CN"/>
              </w:rPr>
              <w:t>律师合格率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100</w:t>
            </w:r>
            <w:r>
              <w:rPr>
                <w:rFonts w:hint="eastAsia" w:ascii="仿宋_GB2312" w:hAnsi="仿宋_GB2312" w:eastAsia="仿宋_GB2312" w:cs="仿宋_GB2312"/>
                <w:kern w:val="0"/>
                <w:sz w:val="21"/>
                <w:szCs w:val="21"/>
              </w:rPr>
              <w:t>%</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100</w:t>
            </w:r>
            <w:r>
              <w:rPr>
                <w:rFonts w:hint="eastAsia" w:ascii="仿宋_GB2312" w:hAnsi="仿宋_GB2312" w:eastAsia="仿宋_GB2312" w:cs="仿宋_GB2312"/>
                <w:kern w:val="0"/>
                <w:sz w:val="21"/>
                <w:szCs w:val="21"/>
              </w:rPr>
              <w:t>%</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r>
              <w:rPr>
                <w:rFonts w:hint="eastAsia" w:ascii="仿宋_GB2312" w:hAnsi="仿宋_GB2312" w:eastAsia="仿宋_GB2312" w:cs="仿宋_GB2312"/>
                <w:color w:val="000000"/>
                <w:kern w:val="0"/>
                <w:sz w:val="21"/>
                <w:szCs w:val="21"/>
                <w:lang w:val="en-US" w:eastAsia="zh-CN"/>
              </w:rPr>
              <w:t>各项工作</w:t>
            </w:r>
            <w:r>
              <w:rPr>
                <w:rFonts w:hint="eastAsia" w:ascii="仿宋_GB2312" w:hAnsi="仿宋_GB2312" w:eastAsia="仿宋_GB2312" w:cs="仿宋_GB2312"/>
                <w:color w:val="000000"/>
                <w:kern w:val="0"/>
                <w:sz w:val="21"/>
                <w:szCs w:val="21"/>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kern w:val="0"/>
                <w:sz w:val="21"/>
                <w:szCs w:val="21"/>
                <w:lang w:val="en-US" w:eastAsia="zh-CN"/>
              </w:rPr>
              <w:t>10月份</w:t>
            </w:r>
          </w:p>
        </w:tc>
        <w:tc>
          <w:tcPr>
            <w:tcW w:w="90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10月份</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指标1：年度总成本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kern w:val="0"/>
                <w:sz w:val="21"/>
                <w:szCs w:val="21"/>
                <w:lang w:val="en-US" w:eastAsia="zh-CN"/>
              </w:rPr>
              <w:t>12万元</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12万元</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效益指标</w:t>
            </w:r>
          </w:p>
          <w:p>
            <w:pPr>
              <w:widowControl/>
              <w:spacing w:line="240" w:lineRule="exact"/>
              <w:jc w:val="center"/>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经济效益</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社会效益</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r>
              <w:rPr>
                <w:rFonts w:hint="eastAsia" w:ascii="仿宋_GB2312" w:hAnsi="仿宋_GB2312" w:eastAsia="仿宋_GB2312" w:cs="仿宋_GB2312"/>
                <w:color w:val="000000"/>
                <w:kern w:val="0"/>
                <w:sz w:val="21"/>
                <w:szCs w:val="21"/>
                <w:lang w:val="en-US" w:eastAsia="zh-CN"/>
              </w:rPr>
              <w:t>提供法律意见合法率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100</w:t>
            </w:r>
            <w:r>
              <w:rPr>
                <w:rFonts w:hint="eastAsia" w:ascii="仿宋_GB2312" w:hAnsi="仿宋_GB2312" w:eastAsia="仿宋_GB2312" w:cs="仿宋_GB2312"/>
                <w:kern w:val="0"/>
                <w:sz w:val="21"/>
                <w:szCs w:val="21"/>
              </w:rPr>
              <w:t>%</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lang w:val="en-US" w:eastAsia="zh-CN"/>
              </w:rPr>
              <w:t>100%</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r>
              <w:rPr>
                <w:rFonts w:hint="eastAsia" w:ascii="仿宋_GB2312" w:hAnsi="仿宋_GB2312" w:eastAsia="仿宋_GB2312" w:cs="仿宋_GB2312"/>
                <w:color w:val="000000"/>
                <w:kern w:val="0"/>
                <w:sz w:val="21"/>
                <w:szCs w:val="21"/>
                <w:lang w:val="en-US" w:eastAsia="zh-CN"/>
              </w:rPr>
              <w:t>办理</w:t>
            </w:r>
            <w:r>
              <w:rPr>
                <w:rFonts w:hint="eastAsia" w:ascii="仿宋_GB2312" w:hAnsi="仿宋_GB2312" w:eastAsia="仿宋_GB2312" w:cs="仿宋_GB2312"/>
                <w:color w:val="000000"/>
                <w:kern w:val="0"/>
                <w:sz w:val="21"/>
                <w:szCs w:val="21"/>
              </w:rPr>
              <w:t>行政复议案件合法率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100</w:t>
            </w:r>
            <w:r>
              <w:rPr>
                <w:rFonts w:hint="eastAsia" w:ascii="仿宋_GB2312" w:hAnsi="仿宋_GB2312" w:eastAsia="仿宋_GB2312" w:cs="仿宋_GB2312"/>
                <w:kern w:val="0"/>
                <w:sz w:val="21"/>
                <w:szCs w:val="21"/>
              </w:rPr>
              <w:t>%</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100%</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生态效益</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可持续影响</w:t>
            </w:r>
          </w:p>
          <w:p>
            <w:pPr>
              <w:widowControl/>
              <w:spacing w:line="240" w:lineRule="exact"/>
              <w:jc w:val="center"/>
              <w:rPr>
                <w:rFonts w:eastAsia="仿宋_GB2312"/>
                <w:kern w:val="0"/>
                <w:sz w:val="24"/>
              </w:rPr>
            </w:pPr>
            <w:r>
              <w:rPr>
                <w:rFonts w:hint="eastAsia"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p>
        </w:tc>
        <w:tc>
          <w:tcPr>
            <w:tcW w:w="90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p>
        </w:tc>
        <w:tc>
          <w:tcPr>
            <w:tcW w:w="5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满意度</w:t>
            </w:r>
          </w:p>
          <w:p>
            <w:pPr>
              <w:widowControl/>
              <w:spacing w:line="240" w:lineRule="exact"/>
              <w:jc w:val="center"/>
              <w:rPr>
                <w:rFonts w:eastAsia="仿宋_GB2312"/>
                <w:kern w:val="0"/>
                <w:sz w:val="24"/>
              </w:rPr>
            </w:pPr>
            <w:r>
              <w:rPr>
                <w:rFonts w:hint="eastAsia" w:eastAsia="仿宋_GB2312"/>
                <w:kern w:val="0"/>
                <w:sz w:val="24"/>
              </w:rPr>
              <w:t>指标</w:t>
            </w: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r>
              <w:rPr>
                <w:rFonts w:hint="eastAsia" w:ascii="仿宋_GB2312" w:hAnsi="仿宋_GB2312" w:eastAsia="仿宋_GB2312" w:cs="仿宋_GB2312"/>
                <w:color w:val="000000"/>
                <w:kern w:val="0"/>
                <w:sz w:val="21"/>
                <w:szCs w:val="21"/>
                <w:lang w:val="en-US" w:eastAsia="zh-CN"/>
              </w:rPr>
              <w:t>综合满意度</w:t>
            </w:r>
          </w:p>
        </w:tc>
        <w:tc>
          <w:tcPr>
            <w:tcW w:w="1021"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90%</w:t>
            </w: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95%</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指标</w:t>
            </w:r>
            <w:r>
              <w:rPr>
                <w:rFonts w:eastAsia="仿宋_GB2312"/>
                <w:color w:val="000000"/>
                <w:kern w:val="0"/>
                <w:sz w:val="24"/>
              </w:rPr>
              <w:t>2</w:t>
            </w:r>
            <w:r>
              <w:rPr>
                <w:rFonts w:hint="eastAsia"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05"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总分</w:t>
            </w:r>
          </w:p>
        </w:tc>
        <w:tc>
          <w:tcPr>
            <w:tcW w:w="5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sectPr>
          <w:pgSz w:w="11907" w:h="16839"/>
          <w:pgMar w:top="1440" w:right="1800" w:bottom="1440" w:left="1800" w:header="851" w:footer="992" w:gutter="0"/>
          <w:cols w:space="720" w:num="1"/>
          <w:docGrid w:type="lines" w:linePitch="326" w:charSpace="0"/>
        </w:sectPr>
      </w:pPr>
    </w:p>
    <w:tbl>
      <w:tblPr>
        <w:tblStyle w:val="7"/>
        <w:tblW w:w="13902" w:type="dxa"/>
        <w:tblInd w:w="0" w:type="dxa"/>
        <w:tblLayout w:type="fixed"/>
        <w:tblCellMar>
          <w:top w:w="0" w:type="dxa"/>
          <w:left w:w="0" w:type="dxa"/>
          <w:bottom w:w="0" w:type="dxa"/>
          <w:right w:w="0" w:type="dxa"/>
        </w:tblCellMar>
      </w:tblPr>
      <w:tblGrid>
        <w:gridCol w:w="1004"/>
        <w:gridCol w:w="1048"/>
        <w:gridCol w:w="666"/>
        <w:gridCol w:w="1619"/>
        <w:gridCol w:w="1410"/>
        <w:gridCol w:w="3300"/>
        <w:gridCol w:w="1380"/>
        <w:gridCol w:w="1005"/>
        <w:gridCol w:w="1215"/>
        <w:gridCol w:w="1255"/>
      </w:tblGrid>
      <w:tr>
        <w:tblPrEx>
          <w:tblCellMar>
            <w:top w:w="0" w:type="dxa"/>
            <w:left w:w="0" w:type="dxa"/>
            <w:bottom w:w="0" w:type="dxa"/>
            <w:right w:w="0" w:type="dxa"/>
          </w:tblCellMar>
        </w:tblPrEx>
        <w:trPr>
          <w:trHeight w:val="873" w:hRule="atLeast"/>
        </w:trPr>
        <w:tc>
          <w:tcPr>
            <w:tcW w:w="13902" w:type="dxa"/>
            <w:gridSpan w:val="10"/>
            <w:tcBorders>
              <w:top w:val="nil"/>
              <w:left w:val="nil"/>
              <w:bottom w:val="nil"/>
              <w:right w:val="nil"/>
            </w:tcBorders>
            <w:shd w:val="clear" w:color="auto" w:fill="auto"/>
            <w:noWrap/>
            <w:tcMar>
              <w:top w:w="10" w:type="dxa"/>
              <w:left w:w="10" w:type="dxa"/>
              <w:right w:w="10" w:type="dxa"/>
            </w:tcMar>
            <w:vAlign w:val="center"/>
          </w:tcPr>
          <w:p>
            <w:pPr>
              <w:spacing w:line="584" w:lineRule="exact"/>
              <w:jc w:val="center"/>
              <w:rPr>
                <w:rStyle w:val="14"/>
                <w:rFonts w:ascii="Times New Roman" w:hAnsi="Times New Roman" w:eastAsia="方正小标宋简体" w:cs="Times New Roman"/>
                <w:sz w:val="44"/>
                <w:szCs w:val="44"/>
              </w:rPr>
            </w:pPr>
            <w:r>
              <w:rPr>
                <w:rFonts w:ascii="Times New Roman" w:hAnsi="Times New Roman" w:eastAsia="仿宋_GB2312" w:cs="Times New Roman"/>
                <w:b/>
                <w:bCs/>
                <w:sz w:val="32"/>
                <w:szCs w:val="32"/>
              </w:rPr>
              <w:br w:type="page"/>
            </w:r>
            <w:r>
              <w:rPr>
                <w:rStyle w:val="14"/>
                <w:rFonts w:ascii="Times New Roman" w:hAnsi="Times New Roman" w:eastAsia="方正小标宋简体" w:cs="Times New Roman"/>
                <w:sz w:val="44"/>
                <w:szCs w:val="44"/>
              </w:rPr>
              <w:t>部门（单位）整体绩效自评表</w:t>
            </w:r>
          </w:p>
          <w:p>
            <w:pPr>
              <w:spacing w:line="584" w:lineRule="exact"/>
              <w:jc w:val="center"/>
              <w:rPr>
                <w:rFonts w:ascii="Times New Roman" w:hAnsi="Times New Roman" w:eastAsia="等线" w:cs="Times New Roman"/>
                <w:color w:val="000000"/>
                <w:sz w:val="28"/>
                <w:szCs w:val="28"/>
              </w:rPr>
            </w:pP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lang w:val="en-US" w:eastAsia="zh-CN"/>
              </w:rPr>
              <w:t>2019</w:t>
            </w:r>
            <w:r>
              <w:rPr>
                <w:rFonts w:ascii="Times New Roman" w:hAnsi="Times New Roman" w:eastAsia="仿宋_GB2312" w:cs="Times New Roman"/>
                <w:color w:val="000000"/>
                <w:sz w:val="28"/>
                <w:szCs w:val="28"/>
              </w:rPr>
              <w:t>年度）</w:t>
            </w:r>
          </w:p>
        </w:tc>
      </w:tr>
      <w:tr>
        <w:tblPrEx>
          <w:tblCellMar>
            <w:top w:w="0" w:type="dxa"/>
            <w:left w:w="0" w:type="dxa"/>
            <w:bottom w:w="0" w:type="dxa"/>
            <w:right w:w="0" w:type="dxa"/>
          </w:tblCellMar>
        </w:tblPrEx>
        <w:trPr>
          <w:trHeight w:val="355" w:hRule="atLeast"/>
        </w:trPr>
        <w:tc>
          <w:tcPr>
            <w:tcW w:w="4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部门（单位）名称</w:t>
            </w:r>
          </w:p>
        </w:tc>
        <w:tc>
          <w:tcPr>
            <w:tcW w:w="9565"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大厂回族自治县司法局</w:t>
            </w:r>
          </w:p>
        </w:tc>
      </w:tr>
      <w:tr>
        <w:tblPrEx>
          <w:tblCellMar>
            <w:top w:w="0" w:type="dxa"/>
            <w:left w:w="0" w:type="dxa"/>
            <w:bottom w:w="0" w:type="dxa"/>
            <w:right w:w="0" w:type="dxa"/>
          </w:tblCellMar>
        </w:tblPrEx>
        <w:trPr>
          <w:trHeight w:val="690"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年度主要任务</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重点工作任务名称</w:t>
            </w:r>
          </w:p>
        </w:tc>
        <w:tc>
          <w:tcPr>
            <w:tcW w:w="22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重点工作任务完成情况</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eastAsia="仿宋_GB2312"/>
                <w:kern w:val="0"/>
                <w:sz w:val="21"/>
                <w:szCs w:val="21"/>
              </w:rPr>
            </w:pPr>
            <w:r>
              <w:rPr>
                <w:rStyle w:val="18"/>
                <w:rFonts w:hint="eastAsia" w:ascii="Times New Roman" w:hAnsi="Times New Roman" w:cs="Times New Roman"/>
              </w:rPr>
              <w:t>拟对应安排的重点项目</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项目完成情况</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预算数</w:t>
            </w:r>
            <w:r>
              <w:rPr>
                <w:rStyle w:val="19"/>
                <w:rFonts w:eastAsia="等线"/>
              </w:rPr>
              <w:br w:type="textWrapping"/>
            </w:r>
            <w:r>
              <w:rPr>
                <w:rStyle w:val="18"/>
                <w:rFonts w:ascii="Times New Roman" w:hAnsi="Times New Roman" w:cs="Times New Roman"/>
              </w:rPr>
              <w:t>（万元）</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其中：财政拨款</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执行数</w:t>
            </w:r>
            <w:r>
              <w:rPr>
                <w:rStyle w:val="19"/>
                <w:rFonts w:eastAsia="等线"/>
              </w:rPr>
              <w:br w:type="textWrapping"/>
            </w:r>
            <w:r>
              <w:rPr>
                <w:rStyle w:val="18"/>
                <w:rFonts w:ascii="Times New Roman" w:hAnsi="Times New Roman" w:cs="Times New Roman"/>
              </w:rPr>
              <w:t>（万元）</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其中：财政拨款</w:t>
            </w:r>
          </w:p>
        </w:tc>
      </w:tr>
      <w:tr>
        <w:tblPrEx>
          <w:tblCellMar>
            <w:top w:w="0" w:type="dxa"/>
            <w:left w:w="0" w:type="dxa"/>
            <w:bottom w:w="0" w:type="dxa"/>
            <w:right w:w="0" w:type="dxa"/>
          </w:tblCellMar>
        </w:tblPrEx>
        <w:trPr>
          <w:trHeight w:val="106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kern w:val="0"/>
                <w:sz w:val="18"/>
                <w:szCs w:val="18"/>
              </w:rPr>
              <w:t>围绕法治政府建设，全面推进依法行政工作。</w:t>
            </w:r>
          </w:p>
        </w:tc>
        <w:tc>
          <w:tcPr>
            <w:tcW w:w="22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kern w:val="0"/>
                <w:sz w:val="18"/>
                <w:szCs w:val="18"/>
              </w:rPr>
              <w:t>加快法治政府建设，坚持依法依规化解矛盾的原则，使政府决策更加科学，合法，合理，指制度建设更加法制化，努力加快法治政府建设的步伐。通过培训，全面提高各级领导干部的法治思维和执政能力，提高全县执法人员的执法能力和水平。</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全县法制培训经费</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所有持证人员全部参加培训，</w:t>
            </w:r>
            <w:r>
              <w:rPr>
                <w:rFonts w:hint="eastAsia" w:ascii="仿宋_GB2312" w:hAnsi="仿宋_GB2312" w:eastAsia="仿宋_GB2312" w:cs="仿宋_GB2312"/>
                <w:kern w:val="0"/>
                <w:sz w:val="18"/>
                <w:szCs w:val="18"/>
              </w:rPr>
              <w:t>提高全县执法人员的执法能力和水平。</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5</w:t>
            </w:r>
          </w:p>
        </w:tc>
      </w:tr>
      <w:tr>
        <w:tblPrEx>
          <w:tblCellMar>
            <w:top w:w="0" w:type="dxa"/>
            <w:left w:w="0" w:type="dxa"/>
            <w:bottom w:w="0" w:type="dxa"/>
            <w:right w:w="0" w:type="dxa"/>
          </w:tblCellMar>
        </w:tblPrEx>
        <w:trPr>
          <w:trHeight w:val="637"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sz w:val="18"/>
                <w:szCs w:val="18"/>
              </w:rPr>
            </w:pPr>
          </w:p>
        </w:tc>
        <w:tc>
          <w:tcPr>
            <w:tcW w:w="22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法制办行政复议工作经费</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包括为政府提供法律咨询、文件合法性审查并办理行政复议案件，使政府决策更加科学，合法，合理，指制度建设更加法制化，努力加快法治政府建设的步伐。</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12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12</w:t>
            </w:r>
          </w:p>
        </w:tc>
      </w:tr>
      <w:tr>
        <w:tblPrEx>
          <w:tblCellMar>
            <w:top w:w="0" w:type="dxa"/>
            <w:left w:w="0" w:type="dxa"/>
            <w:bottom w:w="0" w:type="dxa"/>
            <w:right w:w="0" w:type="dxa"/>
          </w:tblCellMar>
        </w:tblPrEx>
        <w:trPr>
          <w:trHeight w:val="41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围绕法治大厂建设，深入推进普法依法治理。</w:t>
            </w:r>
          </w:p>
        </w:tc>
        <w:tc>
          <w:tcPr>
            <w:tcW w:w="22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提高全县人民法律意识和法律素质，增强法治化管理水平，促进全县民主与法制建设。</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普法宣传经费</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通过组织宣传活动、印发宣传资料，提高普法考试通过率，提高全县人民法律意识和法律素质，增强法治化管理水平，促进全县民主与法制建设。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6</w:t>
            </w:r>
          </w:p>
        </w:tc>
      </w:tr>
      <w:tr>
        <w:tblPrEx>
          <w:tblCellMar>
            <w:top w:w="0" w:type="dxa"/>
            <w:left w:w="0" w:type="dxa"/>
            <w:bottom w:w="0" w:type="dxa"/>
            <w:right w:w="0" w:type="dxa"/>
          </w:tblCellMar>
        </w:tblPrEx>
        <w:trPr>
          <w:trHeight w:val="41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p>
            <w:pPr>
              <w:rPr>
                <w:rFonts w:ascii="Times New Roman" w:hAnsi="Times New Roman" w:cs="Times New Roman"/>
              </w:rPr>
            </w:pPr>
          </w:p>
        </w:tc>
        <w:tc>
          <w:tcPr>
            <w:tcW w:w="1048" w:type="dxa"/>
            <w:vMerge w:val="restart"/>
            <w:tcBorders>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加强矛盾纠纷排查化解工作</w:t>
            </w:r>
          </w:p>
        </w:tc>
        <w:tc>
          <w:tcPr>
            <w:tcW w:w="2285" w:type="dxa"/>
            <w:gridSpan w:val="2"/>
            <w:vMerge w:val="restart"/>
            <w:tcBorders>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推进人民调解工作的规范化、制度化运行，深化人民调解工作，最大限度降低重新违法犯罪和社会不稳定因素发生率。</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人民调解经费</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提升和调动广大调解员的积极性，推进人民调解工作的规范化、制度化运行，深化人民调解工作，最大限度降低重新违法犯罪和社会不稳定因素发生率。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4</w:t>
            </w: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sz w:val="18"/>
                <w:szCs w:val="18"/>
              </w:rPr>
            </w:pPr>
          </w:p>
        </w:tc>
        <w:tc>
          <w:tcPr>
            <w:tcW w:w="2285" w:type="dxa"/>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医疗纠纷调解委员会专项经费</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通过医疗纠纷调解工作的正常开展，充分发挥医患纠纷第三方调解机制的作用，以服务医患双方为宗旨，扎实有效地开展医疗纠纷人民调解工作。</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24.6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24.6</w:t>
            </w:r>
            <w:r>
              <w:rPr>
                <w:rFonts w:hint="eastAsia" w:ascii="仿宋_GB2312" w:hAnsi="仿宋_GB2312" w:eastAsia="仿宋_GB2312" w:cs="仿宋_GB2312"/>
                <w:color w:val="000000"/>
                <w:sz w:val="18"/>
                <w:szCs w:val="18"/>
              </w:rPr>
              <w:tab/>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22.42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22.42</w:t>
            </w: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p>
            <w:pPr>
              <w:rPr>
                <w:rFonts w:ascii="Times New Roman" w:hAnsi="Times New Roman" w:cs="Times New Roman"/>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加强社区矫正和安置帮教工作</w:t>
            </w:r>
          </w:p>
        </w:tc>
        <w:tc>
          <w:tcPr>
            <w:tcW w:w="22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通过采取多种形式对社区服刑人员进行思想教育、法制教育和道德教育，矫正其不良心理和行为，促使其成为守法公民，以降低社区服刑人员重新犯罪率，维护社会稳定。</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社区矫正工作经费</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通过采取多种形式对社区服刑人员进行思想教育、法制教育和道德教育，矫正其不良心理和行为，促使其成为守法公民，</w:t>
            </w:r>
            <w:r>
              <w:rPr>
                <w:rFonts w:hint="eastAsia" w:ascii="仿宋_GB2312" w:hAnsi="仿宋_GB2312" w:eastAsia="仿宋_GB2312" w:cs="仿宋_GB2312"/>
                <w:sz w:val="18"/>
                <w:szCs w:val="18"/>
                <w:lang w:val="en-US" w:eastAsia="zh-CN"/>
              </w:rPr>
              <w:t>年末社区矫正在册68人，</w:t>
            </w:r>
            <w:r>
              <w:rPr>
                <w:rFonts w:hint="eastAsia" w:ascii="仿宋_GB2312" w:hAnsi="仿宋_GB2312" w:eastAsia="仿宋_GB2312" w:cs="仿宋_GB2312"/>
                <w:color w:val="000000"/>
                <w:sz w:val="18"/>
                <w:szCs w:val="18"/>
              </w:rPr>
              <w:t>无脱管、漏管现象发生。</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18</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17.31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17.31</w:t>
            </w: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c>
        <w:tc>
          <w:tcPr>
            <w:tcW w:w="104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围绕人民群众满意，全面推进公共法律服务体系提档升级。</w:t>
            </w:r>
          </w:p>
        </w:tc>
        <w:tc>
          <w:tcPr>
            <w:tcW w:w="2285" w:type="dxa"/>
            <w:gridSpan w:val="2"/>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办理法律援助案件；</w:t>
            </w:r>
            <w:r>
              <w:rPr>
                <w:rFonts w:hint="eastAsia" w:ascii="仿宋_GB2312" w:hAnsi="仿宋_GB2312" w:eastAsia="仿宋_GB2312" w:cs="仿宋_GB2312"/>
                <w:color w:val="000000"/>
                <w:sz w:val="18"/>
                <w:szCs w:val="18"/>
              </w:rPr>
              <w:t>聘请村（居）法律顾问，使村（居）法律服务更加便民快捷</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指导律师做好涉法涉诉信访工作，引导群众依法理性表达诉求，把信访隐患化解在萌芽状态。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法律援助工作经费</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通过解答法律咨询、承办律援助案件，依法维护弱势群体合法权益。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2.77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lang w:val="en-US" w:eastAsia="zh-CN"/>
              </w:rPr>
              <w:t>2.77</w:t>
            </w: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sz w:val="18"/>
                <w:szCs w:val="18"/>
              </w:rPr>
            </w:pPr>
          </w:p>
        </w:tc>
        <w:tc>
          <w:tcPr>
            <w:tcW w:w="2285" w:type="dxa"/>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法律服务经费</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通过聘请村（居）法律顾问，使村（居）法律服务更加便民快捷，群众不出村（居）即可享受到法律服务，困难群体及时得到法律援助，群众法律服务需求得到基本满足。指导律师做好涉法涉诉信访工作，引导群众依法理性表达诉求，把信访隐患化解在萌芽状态。</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7.4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7.4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7.24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lang w:val="en-US" w:eastAsia="zh-CN"/>
              </w:rPr>
              <w:t>7.24</w:t>
            </w:r>
          </w:p>
        </w:tc>
      </w:tr>
      <w:tr>
        <w:tblPrEx>
          <w:tblCellMar>
            <w:top w:w="0" w:type="dxa"/>
            <w:left w:w="0" w:type="dxa"/>
            <w:bottom w:w="0" w:type="dxa"/>
            <w:right w:w="0" w:type="dxa"/>
          </w:tblCellMar>
        </w:tblPrEx>
        <w:trPr>
          <w:trHeight w:val="40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围绕全县中心工作，扎实推进扫黑除恶专项斗争行动。</w:t>
            </w:r>
          </w:p>
        </w:tc>
        <w:tc>
          <w:tcPr>
            <w:tcW w:w="22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涉黑涉恶矛盾纠纷排查、社区矫正和刑满释放人员黑恶线索排查、扫黑除恶法治宣传、监督指导律师代理黑恶势力犯罪案件等职能</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扫黑除恶专项经费</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rPr>
                <w:rFonts w:hint="eastAsia" w:eastAsia="仿宋_GB2312" w:asciiTheme="minorHAnsi" w:hAnsiTheme="minorHAnsi" w:cstheme="minorBidi"/>
                <w:kern w:val="0"/>
                <w:sz w:val="21"/>
                <w:szCs w:val="21"/>
                <w:lang w:val="en-US" w:eastAsia="zh-CN" w:bidi="ar-SA"/>
              </w:rPr>
            </w:pPr>
            <w:r>
              <w:rPr>
                <w:rFonts w:hint="eastAsia" w:ascii="仿宋_GB2312" w:hAnsi="仿宋_GB2312" w:eastAsia="仿宋_GB2312" w:cs="仿宋_GB2312"/>
                <w:color w:val="000000"/>
                <w:sz w:val="18"/>
                <w:szCs w:val="18"/>
              </w:rPr>
              <w:t>将与扫黑除恶有关的法律法规，作为“七五”普法的重要内容，切实发挥法治宣传教育在增强公民遵纪守法意识、震慑和预防犯罪方面的重要作用。</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5</w:t>
            </w:r>
          </w:p>
        </w:tc>
      </w:tr>
      <w:tr>
        <w:tblPrEx>
          <w:tblCellMar>
            <w:top w:w="0" w:type="dxa"/>
            <w:left w:w="0" w:type="dxa"/>
            <w:bottom w:w="0" w:type="dxa"/>
            <w:right w:w="0" w:type="dxa"/>
          </w:tblCellMar>
        </w:tblPrEx>
        <w:trPr>
          <w:trHeight w:val="9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8043"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金额合计</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87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87</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81.74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81.74</w:t>
            </w:r>
          </w:p>
        </w:tc>
      </w:tr>
      <w:tr>
        <w:tblPrEx>
          <w:tblCellMar>
            <w:top w:w="0" w:type="dxa"/>
            <w:left w:w="0" w:type="dxa"/>
            <w:bottom w:w="0" w:type="dxa"/>
            <w:right w:w="0" w:type="dxa"/>
          </w:tblCellMar>
        </w:tblPrEx>
        <w:trPr>
          <w:trHeight w:val="534"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rPr>
              <w:t>一级指标</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二级指标</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三级指标</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目标值</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自评实际值</w:t>
            </w:r>
          </w:p>
        </w:tc>
        <w:tc>
          <w:tcPr>
            <w:tcW w:w="1215" w:type="dxa"/>
            <w:tcBorders>
              <w:top w:val="single" w:color="000000" w:sz="4" w:space="0"/>
              <w:left w:val="nil"/>
              <w:bottom w:val="nil"/>
              <w:right w:val="nil"/>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权重</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自评得分</w:t>
            </w:r>
          </w:p>
        </w:tc>
      </w:tr>
      <w:tr>
        <w:tblPrEx>
          <w:tblCellMar>
            <w:top w:w="0" w:type="dxa"/>
            <w:left w:w="0" w:type="dxa"/>
            <w:bottom w:w="0" w:type="dxa"/>
            <w:right w:w="0" w:type="dxa"/>
          </w:tblCellMar>
        </w:tblPrEx>
        <w:trPr>
          <w:trHeight w:val="406"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部门管理（40分）</w:t>
            </w: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0"/>
                <w:rFonts w:ascii="Times New Roman" w:hAnsi="Times New Roman" w:cs="Times New Roman"/>
              </w:rPr>
              <w:t>资金</w:t>
            </w:r>
            <w:r>
              <w:rPr>
                <w:rStyle w:val="20"/>
                <w:rFonts w:ascii="Times New Roman" w:hAnsi="Times New Roman" w:cs="Times New Roman"/>
              </w:rPr>
              <w:br w:type="textWrapping"/>
            </w:r>
            <w:r>
              <w:rPr>
                <w:rStyle w:val="20"/>
                <w:rFonts w:ascii="Times New Roman" w:hAnsi="Times New Roman" w:cs="Times New Roman"/>
              </w:rPr>
              <w:t>投入</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预算完成率</w:t>
            </w:r>
            <w:r>
              <w:rPr>
                <w:rStyle w:val="21"/>
                <w:rFonts w:eastAsia="等线"/>
              </w:rPr>
              <w:t xml:space="preserve"> </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≥95%</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96.3%</w:t>
            </w:r>
          </w:p>
        </w:tc>
        <w:tc>
          <w:tcPr>
            <w:tcW w:w="1215"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预算调整率</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0</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3.72%</w:t>
            </w:r>
          </w:p>
        </w:tc>
        <w:tc>
          <w:tcPr>
            <w:tcW w:w="1215"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w:t>
            </w:r>
          </w:p>
        </w:tc>
      </w:tr>
      <w:tr>
        <w:tblPrEx>
          <w:tblCellMar>
            <w:top w:w="0" w:type="dxa"/>
            <w:left w:w="0" w:type="dxa"/>
            <w:bottom w:w="0" w:type="dxa"/>
            <w:right w:w="0" w:type="dxa"/>
          </w:tblCellMar>
        </w:tblPrEx>
        <w:trPr>
          <w:trHeight w:val="9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支出进度率</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p>
        </w:tc>
        <w:tc>
          <w:tcPr>
            <w:tcW w:w="1215"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2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eastAsia="等线"/>
              </w:rPr>
              <w:t>“</w:t>
            </w:r>
            <w:r>
              <w:rPr>
                <w:rStyle w:val="18"/>
                <w:rFonts w:ascii="Times New Roman" w:hAnsi="Times New Roman" w:cs="Times New Roman"/>
              </w:rPr>
              <w:t>三公经费</w:t>
            </w:r>
            <w:r>
              <w:rPr>
                <w:rStyle w:val="19"/>
                <w:rFonts w:eastAsia="等线"/>
              </w:rPr>
              <w:t>”</w:t>
            </w:r>
            <w:r>
              <w:rPr>
                <w:rStyle w:val="18"/>
                <w:rFonts w:ascii="Times New Roman" w:hAnsi="Times New Roman" w:cs="Times New Roman"/>
              </w:rPr>
              <w:t>变动率</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≤0　</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26.52%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r>
      <w:tr>
        <w:tblPrEx>
          <w:tblCellMar>
            <w:top w:w="0" w:type="dxa"/>
            <w:left w:w="0" w:type="dxa"/>
            <w:bottom w:w="0" w:type="dxa"/>
            <w:right w:w="0" w:type="dxa"/>
          </w:tblCellMar>
        </w:tblPrEx>
        <w:trPr>
          <w:trHeight w:val="36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结转结余变动率</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≤0　</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180.55%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r>
      <w:tr>
        <w:tblPrEx>
          <w:tblCellMar>
            <w:top w:w="0" w:type="dxa"/>
            <w:left w:w="0" w:type="dxa"/>
            <w:bottom w:w="0" w:type="dxa"/>
            <w:right w:w="0" w:type="dxa"/>
          </w:tblCellMar>
        </w:tblPrEx>
        <w:trPr>
          <w:trHeight w:val="40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财务管理</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问题资金占比</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0</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46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采购管理</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政府采购执行率</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≥95%</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无政府采购</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w:t>
            </w:r>
          </w:p>
        </w:tc>
      </w:tr>
      <w:tr>
        <w:tblPrEx>
          <w:tblCellMar>
            <w:top w:w="0" w:type="dxa"/>
            <w:left w:w="0" w:type="dxa"/>
            <w:bottom w:w="0" w:type="dxa"/>
            <w:right w:w="0" w:type="dxa"/>
          </w:tblCellMar>
        </w:tblPrEx>
        <w:trPr>
          <w:trHeight w:val="433"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资产管理</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资产管理规范性</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规范　</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规范</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476"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人员管理</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在职人员控制率</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190%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r>
      <w:tr>
        <w:tblPrEx>
          <w:tblCellMar>
            <w:top w:w="0" w:type="dxa"/>
            <w:left w:w="0" w:type="dxa"/>
            <w:bottom w:w="0" w:type="dxa"/>
            <w:right w:w="0" w:type="dxa"/>
          </w:tblCellMar>
        </w:tblPrEx>
        <w:trPr>
          <w:trHeight w:val="46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信息管理</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预决算信息公开性</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按规定公开</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18"/>
                <w:rFonts w:ascii="Times New Roman" w:hAnsi="Times New Roman" w:cs="Times New Roman"/>
              </w:rPr>
              <w:t>按规定公开</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2</w:t>
            </w:r>
          </w:p>
        </w:tc>
      </w:tr>
      <w:tr>
        <w:tblPrEx>
          <w:tblCellMar>
            <w:top w:w="0" w:type="dxa"/>
            <w:left w:w="0" w:type="dxa"/>
            <w:bottom w:w="0" w:type="dxa"/>
            <w:right w:w="0" w:type="dxa"/>
          </w:tblCellMar>
        </w:tblPrEx>
        <w:trPr>
          <w:trHeight w:val="43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绩效信息公开性</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按规定公开</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18"/>
                <w:rFonts w:ascii="Times New Roman" w:hAnsi="Times New Roman" w:cs="Times New Roman"/>
              </w:rPr>
              <w:t>按规定公开</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2</w:t>
            </w:r>
          </w:p>
        </w:tc>
      </w:tr>
      <w:tr>
        <w:tblPrEx>
          <w:tblCellMar>
            <w:top w:w="0" w:type="dxa"/>
            <w:left w:w="0" w:type="dxa"/>
            <w:bottom w:w="0" w:type="dxa"/>
            <w:right w:w="0" w:type="dxa"/>
          </w:tblCellMar>
        </w:tblPrEx>
        <w:trPr>
          <w:trHeight w:val="39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绩效管理</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绩效目标审核通过率</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18"/>
                <w:rFonts w:ascii="Times New Roman" w:hAnsi="Times New Roman" w:cs="Times New Roman"/>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18"/>
                <w:rFonts w:ascii="Times New Roman" w:hAnsi="Times New Roman" w:cs="Times New Roman"/>
              </w:rPr>
              <w:t>2</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绩效自评覆盖率</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18"/>
                <w:rFonts w:ascii="Times New Roman" w:hAnsi="Times New Roman" w:cs="Times New Roman"/>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18"/>
                <w:rFonts w:ascii="Times New Roman" w:hAnsi="Times New Roman" w:cs="Times New Roman"/>
              </w:rPr>
              <w:t>2</w:t>
            </w:r>
          </w:p>
        </w:tc>
      </w:tr>
      <w:tr>
        <w:tblPrEx>
          <w:tblCellMar>
            <w:top w:w="0" w:type="dxa"/>
            <w:left w:w="0" w:type="dxa"/>
            <w:bottom w:w="0" w:type="dxa"/>
            <w:right w:w="0" w:type="dxa"/>
          </w:tblCellMar>
        </w:tblPrEx>
        <w:trPr>
          <w:trHeight w:val="407"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部门产出（</w:t>
            </w:r>
            <w:r>
              <w:rPr>
                <w:rStyle w:val="19"/>
                <w:rFonts w:eastAsia="等线"/>
              </w:rPr>
              <w:t>40</w:t>
            </w:r>
            <w:r>
              <w:rPr>
                <w:rStyle w:val="18"/>
                <w:rFonts w:ascii="Times New Roman" w:hAnsi="Times New Roman" w:cs="Times New Roman"/>
              </w:rPr>
              <w:t>分）</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0"/>
                <w:rFonts w:ascii="Times New Roman" w:hAnsi="Times New Roman" w:cs="Times New Roman"/>
              </w:rPr>
              <w:t>数</w:t>
            </w:r>
            <w:r>
              <w:rPr>
                <w:rStyle w:val="19"/>
                <w:rFonts w:eastAsia="宋体"/>
              </w:rPr>
              <w:t xml:space="preserve"> </w:t>
            </w:r>
            <w:r>
              <w:rPr>
                <w:rStyle w:val="20"/>
                <w:rFonts w:ascii="Times New Roman" w:hAnsi="Times New Roman" w:cs="Times New Roman"/>
              </w:rPr>
              <w:t>量</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重点工作实际完成率</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18"/>
                <w:rFonts w:ascii="Times New Roman" w:hAnsi="Times New Roman" w:cs="Times New Roman"/>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18"/>
                <w:rFonts w:ascii="Times New Roman" w:hAnsi="Times New Roman" w:cs="Times New Roman"/>
              </w:rPr>
              <w:t>15</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0"/>
                <w:rFonts w:ascii="Times New Roman" w:hAnsi="Times New Roman" w:cs="Times New Roman"/>
              </w:rPr>
              <w:t>质</w:t>
            </w:r>
            <w:r>
              <w:rPr>
                <w:rStyle w:val="19"/>
                <w:rFonts w:eastAsia="宋体"/>
              </w:rPr>
              <w:t xml:space="preserve"> </w:t>
            </w:r>
            <w:r>
              <w:rPr>
                <w:rStyle w:val="20"/>
                <w:rFonts w:ascii="Times New Roman" w:hAnsi="Times New Roman" w:cs="Times New Roman"/>
              </w:rPr>
              <w:t>量</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重点工作质量达标率</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18"/>
                <w:rFonts w:ascii="Times New Roman" w:hAnsi="Times New Roman" w:cs="Times New Roman"/>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18"/>
                <w:rFonts w:ascii="Times New Roman" w:hAnsi="Times New Roman" w:cs="Times New Roman"/>
              </w:rPr>
              <w:t>10</w:t>
            </w:r>
          </w:p>
        </w:tc>
      </w:tr>
      <w:tr>
        <w:tblPrEx>
          <w:tblCellMar>
            <w:top w:w="0" w:type="dxa"/>
            <w:left w:w="0" w:type="dxa"/>
            <w:bottom w:w="0" w:type="dxa"/>
            <w:right w:w="0" w:type="dxa"/>
          </w:tblCellMar>
        </w:tblPrEx>
        <w:trPr>
          <w:trHeight w:val="45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0"/>
                <w:rFonts w:ascii="Times New Roman" w:hAnsi="Times New Roman" w:cs="Times New Roman"/>
              </w:rPr>
              <w:t>时</w:t>
            </w:r>
            <w:r>
              <w:rPr>
                <w:rStyle w:val="19"/>
                <w:rFonts w:eastAsia="宋体"/>
              </w:rPr>
              <w:t xml:space="preserve"> </w:t>
            </w:r>
            <w:r>
              <w:rPr>
                <w:rStyle w:val="20"/>
                <w:rFonts w:ascii="Times New Roman" w:hAnsi="Times New Roman" w:cs="Times New Roman"/>
              </w:rPr>
              <w:t>效</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重点工作完成及时率</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18"/>
                <w:rFonts w:ascii="Times New Roman" w:hAnsi="Times New Roman" w:cs="Times New Roman"/>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kern w:val="2"/>
                <w:sz w:val="18"/>
                <w:szCs w:val="18"/>
                <w:u w:val="none"/>
                <w:lang w:val="en-US" w:eastAsia="zh-CN" w:bidi="ar-SA"/>
              </w:rPr>
            </w:pPr>
            <w:r>
              <w:rPr>
                <w:rStyle w:val="18"/>
                <w:rFonts w:ascii="Times New Roman" w:hAnsi="Times New Roman" w:cs="Times New Roman"/>
              </w:rPr>
              <w:t>10</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0"/>
                <w:rFonts w:ascii="Times New Roman" w:hAnsi="Times New Roman" w:cs="Times New Roman"/>
              </w:rPr>
              <w:t>成</w:t>
            </w:r>
            <w:r>
              <w:rPr>
                <w:rStyle w:val="19"/>
                <w:rFonts w:eastAsia="宋体"/>
              </w:rPr>
              <w:t xml:space="preserve"> </w:t>
            </w:r>
            <w:r>
              <w:rPr>
                <w:rStyle w:val="20"/>
                <w:rFonts w:ascii="Times New Roman" w:hAnsi="Times New Roman" w:cs="Times New Roman"/>
              </w:rPr>
              <w:t>本</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一般性支出压减率</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&gt;0</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6.21%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5</w:t>
            </w:r>
          </w:p>
        </w:tc>
      </w:tr>
      <w:tr>
        <w:tblPrEx>
          <w:tblCellMar>
            <w:top w:w="0" w:type="dxa"/>
            <w:left w:w="0" w:type="dxa"/>
            <w:bottom w:w="0" w:type="dxa"/>
            <w:right w:w="0" w:type="dxa"/>
          </w:tblCellMar>
        </w:tblPrEx>
        <w:trPr>
          <w:trHeight w:val="361"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部门效果（</w:t>
            </w:r>
            <w:r>
              <w:rPr>
                <w:rStyle w:val="19"/>
                <w:rFonts w:eastAsia="等线"/>
              </w:rPr>
              <w:t>20</w:t>
            </w:r>
            <w:r>
              <w:rPr>
                <w:rStyle w:val="18"/>
                <w:rFonts w:ascii="Times New Roman" w:hAnsi="Times New Roman" w:cs="Times New Roman"/>
              </w:rPr>
              <w:t>分）</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经济效益</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仿宋_GB2312" w:hAnsi="宋体" w:eastAsia="仿宋_GB2312" w:cs="仿宋_GB2312"/>
                <w:i w:val="0"/>
                <w:color w:val="000000"/>
                <w:kern w:val="2"/>
                <w:sz w:val="18"/>
                <w:szCs w:val="18"/>
                <w:u w:val="none"/>
                <w:lang w:val="en-US" w:eastAsia="zh-CN" w:bidi="ar-SA"/>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p>
        </w:tc>
        <w:tc>
          <w:tcPr>
            <w:tcW w:w="1215" w:type="dxa"/>
            <w:vMerge w:val="restart"/>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CellMar>
            <w:top w:w="0" w:type="dxa"/>
            <w:left w:w="0" w:type="dxa"/>
            <w:bottom w:w="0" w:type="dxa"/>
            <w:right w:w="0" w:type="dxa"/>
          </w:tblCellMar>
        </w:tblPrEx>
        <w:trPr>
          <w:trHeight w:val="30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社会效益</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hint="eastAsia" w:ascii="Times New Roman" w:hAnsi="Times New Roman" w:cs="Times New Roman"/>
              </w:rPr>
              <w:t>降低重新违法犯罪和社会不稳定因素发生率。</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hint="eastAsia" w:ascii="Times New Roman" w:hAnsi="Times New Roman" w:cs="Times New Roman"/>
              </w:rPr>
              <w:t>降低发生率</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降低</w:t>
            </w:r>
          </w:p>
        </w:tc>
        <w:tc>
          <w:tcPr>
            <w:tcW w:w="1215" w:type="dxa"/>
            <w:vMerge w:val="continue"/>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rPr>
                <w:rFonts w:ascii="Times New Roman" w:hAnsi="Times New Roman" w:cs="Times New Roman"/>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w:t>
            </w:r>
          </w:p>
        </w:tc>
      </w:tr>
      <w:tr>
        <w:tblPrEx>
          <w:tblCellMar>
            <w:top w:w="0" w:type="dxa"/>
            <w:left w:w="0" w:type="dxa"/>
            <w:bottom w:w="0" w:type="dxa"/>
            <w:right w:w="0" w:type="dxa"/>
          </w:tblCellMar>
        </w:tblPrEx>
        <w:trPr>
          <w:trHeight w:val="319"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生态效益</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p>
        </w:tc>
        <w:tc>
          <w:tcPr>
            <w:tcW w:w="1215" w:type="dxa"/>
            <w:vMerge w:val="continue"/>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rPr>
                <w:rFonts w:ascii="Times New Roman" w:hAnsi="Times New Roman" w:cs="Times New Roman"/>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CellMar>
            <w:top w:w="0" w:type="dxa"/>
            <w:left w:w="0" w:type="dxa"/>
            <w:bottom w:w="0" w:type="dxa"/>
            <w:right w:w="0" w:type="dxa"/>
          </w:tblCellMar>
        </w:tblPrEx>
        <w:trPr>
          <w:trHeight w:val="43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满意度</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hint="eastAsia" w:ascii="Times New Roman" w:hAnsi="Times New Roman" w:cs="Times New Roman"/>
              </w:rPr>
              <w:t>群众满意度</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≥90%</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90%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w:t>
            </w:r>
          </w:p>
        </w:tc>
      </w:tr>
      <w:tr>
        <w:tblPrEx>
          <w:tblCellMar>
            <w:top w:w="0" w:type="dxa"/>
            <w:left w:w="0" w:type="dxa"/>
            <w:bottom w:w="0" w:type="dxa"/>
            <w:right w:w="0" w:type="dxa"/>
          </w:tblCellMar>
        </w:tblPrEx>
        <w:trPr>
          <w:trHeight w:val="374" w:hRule="atLeast"/>
        </w:trPr>
        <w:tc>
          <w:tcPr>
            <w:tcW w:w="5747"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合　计</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w:t>
            </w:r>
          </w:p>
        </w:tc>
        <w:tc>
          <w:tcPr>
            <w:tcW w:w="1215"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88</w:t>
            </w:r>
          </w:p>
        </w:tc>
      </w:tr>
      <w:tr>
        <w:tblPrEx>
          <w:tblCellMar>
            <w:top w:w="0" w:type="dxa"/>
            <w:left w:w="0" w:type="dxa"/>
            <w:bottom w:w="0" w:type="dxa"/>
            <w:right w:w="0" w:type="dxa"/>
          </w:tblCellMar>
        </w:tblPrEx>
        <w:trPr>
          <w:trHeight w:val="431" w:hRule="atLeast"/>
        </w:trPr>
        <w:tc>
          <w:tcPr>
            <w:tcW w:w="5747"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Cs w:val="21"/>
              </w:rPr>
            </w:pPr>
            <w:r>
              <w:rPr>
                <w:rFonts w:ascii="Times New Roman" w:hAnsi="Times New Roman" w:eastAsia="宋体" w:cs="Times New Roman"/>
                <w:color w:val="000000"/>
                <w:kern w:val="0"/>
                <w:szCs w:val="21"/>
              </w:rPr>
              <w:t>评价结论：</w:t>
            </w:r>
          </w:p>
        </w:tc>
        <w:tc>
          <w:tcPr>
            <w:tcW w:w="815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rPr>
                <w:rFonts w:hint="default" w:ascii="Times New Roman" w:hAnsi="Times New Roman" w:eastAsia="等线" w:cs="Times New Roman"/>
                <w:color w:val="000000"/>
                <w:sz w:val="22"/>
                <w:lang w:val="en-US" w:eastAsia="zh-CN"/>
              </w:rPr>
            </w:pPr>
            <w:r>
              <w:rPr>
                <w:rFonts w:hint="eastAsia" w:ascii="Times New Roman" w:hAnsi="Times New Roman" w:eastAsia="等线" w:cs="Times New Roman"/>
                <w:color w:val="000000"/>
                <w:sz w:val="22"/>
                <w:lang w:val="en-US" w:eastAsia="zh-CN"/>
              </w:rPr>
              <w:t>良</w:t>
            </w:r>
          </w:p>
        </w:tc>
      </w:tr>
      <w:tr>
        <w:tblPrEx>
          <w:tblCellMar>
            <w:top w:w="0" w:type="dxa"/>
            <w:left w:w="0" w:type="dxa"/>
            <w:bottom w:w="0" w:type="dxa"/>
            <w:right w:w="0" w:type="dxa"/>
          </w:tblCellMar>
        </w:tblPrEx>
        <w:trPr>
          <w:trHeight w:val="493" w:hRule="atLeast"/>
        </w:trPr>
        <w:tc>
          <w:tcPr>
            <w:tcW w:w="5747"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绩效指标完成的指标</w:t>
            </w:r>
          </w:p>
        </w:tc>
        <w:tc>
          <w:tcPr>
            <w:tcW w:w="815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hint="default" w:ascii="Times New Roman" w:hAnsi="Times New Roman" w:cs="Times New Roman"/>
                <w:color w:val="000000"/>
                <w:sz w:val="20"/>
                <w:szCs w:val="20"/>
                <w:lang w:val="en-US"/>
              </w:rPr>
            </w:pPr>
            <w:r>
              <w:rPr>
                <w:rFonts w:hint="eastAsia" w:ascii="Times New Roman" w:hAnsi="Times New Roman" w:cs="Times New Roman"/>
                <w:color w:val="000000"/>
                <w:sz w:val="20"/>
                <w:szCs w:val="20"/>
                <w:lang w:eastAsia="zh-CN"/>
              </w:rPr>
              <w:t>1、</w:t>
            </w:r>
            <w:r>
              <w:rPr>
                <w:rFonts w:hint="eastAsia" w:ascii="Times New Roman" w:hAnsi="Times New Roman" w:cs="Times New Roman"/>
                <w:color w:val="000000"/>
                <w:sz w:val="20"/>
                <w:szCs w:val="20"/>
                <w:lang w:val="en-US" w:eastAsia="zh-CN"/>
              </w:rPr>
              <w:t>预算完成</w:t>
            </w:r>
            <w:r>
              <w:rPr>
                <w:rFonts w:hint="eastAsia" w:ascii="Times New Roman" w:hAnsi="Times New Roman" w:cs="Times New Roman"/>
                <w:color w:val="000000"/>
                <w:sz w:val="20"/>
                <w:szCs w:val="20"/>
                <w:lang w:eastAsia="zh-CN"/>
              </w:rPr>
              <w:t>率2、问题资金占比3、政府采购执行率4、资产管理规范性5、绩效目标审核通过率6、预决算信息公开性7、绩效信息公开性8、重点工作完成率9、重点工作质量达标率10、重点工作完成及时性11、一般性支出压减率12、绩效自评覆盖率</w:t>
            </w:r>
            <w:r>
              <w:rPr>
                <w:rFonts w:hint="eastAsia" w:ascii="Times New Roman" w:hAnsi="Times New Roman" w:cs="Times New Roman"/>
                <w:color w:val="000000"/>
                <w:sz w:val="20"/>
                <w:szCs w:val="20"/>
                <w:lang w:val="en-US" w:eastAsia="zh-CN"/>
              </w:rPr>
              <w:t>13、降低重新违法犯罪和社会不稳定因素发生率。14、群众满意度</w:t>
            </w:r>
          </w:p>
        </w:tc>
      </w:tr>
      <w:tr>
        <w:tblPrEx>
          <w:tblCellMar>
            <w:top w:w="0" w:type="dxa"/>
            <w:left w:w="0" w:type="dxa"/>
            <w:bottom w:w="0" w:type="dxa"/>
            <w:right w:w="0" w:type="dxa"/>
          </w:tblCellMar>
        </w:tblPrEx>
        <w:trPr>
          <w:trHeight w:val="452" w:hRule="atLeast"/>
        </w:trPr>
        <w:tc>
          <w:tcPr>
            <w:tcW w:w="5747"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超标完成和尚未完成的绩效指标与目标值偏差程度</w:t>
            </w:r>
          </w:p>
        </w:tc>
        <w:tc>
          <w:tcPr>
            <w:tcW w:w="815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hint="default" w:ascii="Times New Roman" w:hAnsi="Times New Roman" w:cs="Times New Roman"/>
                <w:color w:val="000000"/>
                <w:sz w:val="20"/>
                <w:szCs w:val="20"/>
                <w:lang w:val="en-US" w:eastAsia="zh-CN"/>
              </w:rPr>
            </w:pPr>
            <w:r>
              <w:rPr>
                <w:rFonts w:hint="eastAsia" w:ascii="Times New Roman" w:hAnsi="Times New Roman" w:cs="Times New Roman"/>
                <w:color w:val="000000"/>
                <w:sz w:val="20"/>
                <w:szCs w:val="20"/>
              </w:rPr>
              <w:t>1、预算</w:t>
            </w:r>
            <w:r>
              <w:rPr>
                <w:rFonts w:hint="eastAsia" w:ascii="Times New Roman" w:hAnsi="Times New Roman" w:cs="Times New Roman"/>
                <w:color w:val="000000"/>
                <w:sz w:val="20"/>
                <w:szCs w:val="20"/>
                <w:lang w:val="en-US" w:eastAsia="zh-CN"/>
              </w:rPr>
              <w:t>调整</w:t>
            </w:r>
            <w:r>
              <w:rPr>
                <w:rFonts w:hint="eastAsia" w:ascii="Times New Roman" w:hAnsi="Times New Roman" w:cs="Times New Roman"/>
                <w:color w:val="000000"/>
                <w:sz w:val="20"/>
                <w:szCs w:val="20"/>
              </w:rPr>
              <w:t>率高出</w:t>
            </w:r>
            <w:r>
              <w:rPr>
                <w:rFonts w:hint="eastAsia" w:ascii="Times New Roman" w:hAnsi="Times New Roman" w:cs="Times New Roman"/>
                <w:color w:val="000000"/>
                <w:sz w:val="20"/>
                <w:szCs w:val="20"/>
                <w:lang w:val="en-US" w:eastAsia="zh-CN"/>
              </w:rPr>
              <w:t>3.72</w:t>
            </w:r>
            <w:r>
              <w:rPr>
                <w:rFonts w:hint="eastAsia" w:ascii="Times New Roman" w:hAnsi="Times New Roman" w:cs="Times New Roman"/>
                <w:color w:val="000000"/>
                <w:sz w:val="20"/>
                <w:szCs w:val="20"/>
              </w:rPr>
              <w:t>%</w:t>
            </w:r>
            <w:r>
              <w:rPr>
                <w:rFonts w:hint="eastAsia" w:ascii="Times New Roman" w:hAnsi="Times New Roman" w:cs="Times New Roman"/>
                <w:color w:val="000000"/>
                <w:sz w:val="20"/>
                <w:szCs w:val="20"/>
                <w:lang w:eastAsia="zh-CN"/>
              </w:rPr>
              <w:t>；</w:t>
            </w:r>
            <w:r>
              <w:rPr>
                <w:rFonts w:hint="eastAsia" w:ascii="Times New Roman" w:hAnsi="Times New Roman" w:cs="Times New Roman"/>
                <w:color w:val="000000"/>
                <w:sz w:val="20"/>
                <w:szCs w:val="20"/>
                <w:lang w:val="en-US" w:eastAsia="zh-CN"/>
              </w:rPr>
              <w:t>2</w:t>
            </w:r>
            <w:r>
              <w:rPr>
                <w:rFonts w:hint="eastAsia" w:ascii="Times New Roman" w:hAnsi="Times New Roman" w:cs="Times New Roman"/>
                <w:color w:val="000000"/>
                <w:sz w:val="20"/>
                <w:szCs w:val="20"/>
              </w:rPr>
              <w:t>、“三公经费”变动率超标</w:t>
            </w:r>
            <w:r>
              <w:rPr>
                <w:rFonts w:hint="eastAsia" w:ascii="Times New Roman" w:hAnsi="Times New Roman" w:cs="Times New Roman"/>
                <w:color w:val="000000"/>
                <w:sz w:val="20"/>
                <w:szCs w:val="20"/>
                <w:lang w:val="en-US" w:eastAsia="zh-CN"/>
              </w:rPr>
              <w:t>26.52</w:t>
            </w:r>
            <w:r>
              <w:rPr>
                <w:rFonts w:hint="eastAsia" w:ascii="Times New Roman" w:hAnsi="Times New Roman" w:cs="Times New Roman"/>
                <w:color w:val="000000"/>
                <w:sz w:val="20"/>
                <w:szCs w:val="20"/>
              </w:rPr>
              <w:t>%</w:t>
            </w:r>
            <w:r>
              <w:rPr>
                <w:rFonts w:hint="eastAsia" w:ascii="Times New Roman" w:hAnsi="Times New Roman" w:cs="Times New Roman"/>
                <w:color w:val="000000"/>
                <w:sz w:val="20"/>
                <w:szCs w:val="20"/>
                <w:lang w:eastAsia="zh-CN"/>
              </w:rPr>
              <w:t>；</w:t>
            </w:r>
            <w:r>
              <w:rPr>
                <w:rFonts w:hint="eastAsia" w:ascii="Times New Roman" w:hAnsi="Times New Roman" w:cs="Times New Roman"/>
                <w:color w:val="000000"/>
                <w:sz w:val="20"/>
                <w:szCs w:val="20"/>
                <w:lang w:val="en-US" w:eastAsia="zh-CN"/>
              </w:rPr>
              <w:t>3</w:t>
            </w:r>
            <w:r>
              <w:rPr>
                <w:rFonts w:hint="eastAsia" w:ascii="Times New Roman" w:hAnsi="Times New Roman" w:cs="Times New Roman"/>
                <w:color w:val="000000"/>
                <w:sz w:val="20"/>
                <w:szCs w:val="20"/>
              </w:rPr>
              <w:t>、结余结转变动率</w:t>
            </w:r>
            <w:r>
              <w:rPr>
                <w:rFonts w:hint="eastAsia" w:ascii="Times New Roman" w:hAnsi="Times New Roman" w:cs="Times New Roman"/>
                <w:color w:val="000000"/>
                <w:sz w:val="20"/>
                <w:szCs w:val="20"/>
                <w:lang w:val="en-US" w:eastAsia="zh-CN"/>
              </w:rPr>
              <w:t>180.55</w:t>
            </w:r>
            <w:r>
              <w:rPr>
                <w:rFonts w:hint="eastAsia" w:ascii="Times New Roman" w:hAnsi="Times New Roman" w:cs="Times New Roman"/>
                <w:color w:val="000000"/>
                <w:sz w:val="20"/>
                <w:szCs w:val="20"/>
              </w:rPr>
              <w:t>%</w:t>
            </w:r>
            <w:r>
              <w:rPr>
                <w:rFonts w:hint="eastAsia" w:ascii="Times New Roman" w:hAnsi="Times New Roman" w:cs="Times New Roman"/>
                <w:color w:val="000000"/>
                <w:sz w:val="20"/>
                <w:szCs w:val="20"/>
                <w:lang w:eastAsia="zh-CN"/>
              </w:rPr>
              <w:t>；</w:t>
            </w:r>
            <w:r>
              <w:rPr>
                <w:rFonts w:hint="eastAsia" w:ascii="Times New Roman" w:hAnsi="Times New Roman" w:cs="Times New Roman"/>
                <w:color w:val="000000"/>
                <w:sz w:val="20"/>
                <w:szCs w:val="20"/>
                <w:lang w:val="en-US" w:eastAsia="zh-CN"/>
              </w:rPr>
              <w:t>4、在职人员控制率190%</w:t>
            </w:r>
          </w:p>
        </w:tc>
      </w:tr>
      <w:tr>
        <w:tblPrEx>
          <w:tblCellMar>
            <w:top w:w="0" w:type="dxa"/>
            <w:left w:w="0" w:type="dxa"/>
            <w:bottom w:w="0" w:type="dxa"/>
            <w:right w:w="0" w:type="dxa"/>
          </w:tblCellMar>
        </w:tblPrEx>
        <w:trPr>
          <w:trHeight w:val="513" w:hRule="atLeast"/>
        </w:trPr>
        <w:tc>
          <w:tcPr>
            <w:tcW w:w="5747" w:type="dxa"/>
            <w:gridSpan w:val="5"/>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超标完成和尚未完成的绩效指标原因说明</w:t>
            </w:r>
          </w:p>
        </w:tc>
        <w:tc>
          <w:tcPr>
            <w:tcW w:w="815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hint="default" w:ascii="Times New Roman" w:hAnsi="Times New Roman" w:cs="Times New Roman"/>
                <w:color w:val="000000"/>
                <w:sz w:val="20"/>
                <w:szCs w:val="20"/>
                <w:lang w:val="en-US" w:eastAsia="zh-CN"/>
              </w:rPr>
            </w:pPr>
            <w:r>
              <w:rPr>
                <w:rFonts w:hint="eastAsia" w:ascii="Times New Roman" w:hAnsi="Times New Roman" w:cs="Times New Roman"/>
                <w:color w:val="000000"/>
                <w:sz w:val="20"/>
                <w:szCs w:val="20"/>
                <w:lang w:eastAsia="zh-CN"/>
              </w:rPr>
              <w:t>1、预算调整率未完成原因是机构改革，原</w:t>
            </w:r>
            <w:r>
              <w:rPr>
                <w:rFonts w:hint="eastAsia" w:ascii="Times New Roman" w:hAnsi="Times New Roman" w:cs="Times New Roman"/>
                <w:color w:val="000000"/>
                <w:sz w:val="20"/>
                <w:szCs w:val="20"/>
                <w:lang w:val="en-US" w:eastAsia="zh-CN"/>
              </w:rPr>
              <w:t>县</w:t>
            </w:r>
            <w:r>
              <w:rPr>
                <w:rFonts w:hint="eastAsia" w:ascii="Times New Roman" w:hAnsi="Times New Roman" w:cs="Times New Roman"/>
                <w:color w:val="000000"/>
                <w:sz w:val="20"/>
                <w:szCs w:val="20"/>
                <w:lang w:eastAsia="zh-CN"/>
              </w:rPr>
              <w:t>政府法制办经费调整到我单位。</w:t>
            </w:r>
            <w:r>
              <w:rPr>
                <w:rFonts w:hint="eastAsia" w:ascii="Times New Roman" w:hAnsi="Times New Roman" w:cs="Times New Roman"/>
                <w:color w:val="000000"/>
                <w:sz w:val="20"/>
                <w:szCs w:val="20"/>
                <w:lang w:val="en-US" w:eastAsia="zh-CN"/>
              </w:rPr>
              <w:t>2</w:t>
            </w:r>
            <w:r>
              <w:rPr>
                <w:rFonts w:hint="eastAsia" w:ascii="Times New Roman" w:hAnsi="Times New Roman" w:cs="Times New Roman"/>
                <w:color w:val="000000"/>
                <w:sz w:val="20"/>
                <w:szCs w:val="20"/>
                <w:lang w:eastAsia="zh-CN"/>
              </w:rPr>
              <w:t>、结转结余变动率超标原因是上级转移支付资金结转。</w:t>
            </w:r>
            <w:r>
              <w:rPr>
                <w:rFonts w:hint="eastAsia" w:ascii="Times New Roman" w:hAnsi="Times New Roman" w:cs="Times New Roman"/>
                <w:color w:val="000000"/>
                <w:sz w:val="20"/>
                <w:szCs w:val="20"/>
                <w:lang w:val="en-US" w:eastAsia="zh-CN"/>
              </w:rPr>
              <w:t>3、</w:t>
            </w:r>
            <w:r>
              <w:rPr>
                <w:rFonts w:hint="eastAsia" w:ascii="Times New Roman" w:hAnsi="Times New Roman" w:cs="Times New Roman"/>
                <w:color w:val="000000"/>
                <w:sz w:val="20"/>
                <w:szCs w:val="20"/>
              </w:rPr>
              <w:t>“三公经费”变动率超标</w:t>
            </w:r>
            <w:r>
              <w:rPr>
                <w:rFonts w:hint="eastAsia" w:ascii="Times New Roman" w:hAnsi="Times New Roman" w:cs="Times New Roman"/>
                <w:color w:val="000000"/>
                <w:sz w:val="20"/>
                <w:szCs w:val="20"/>
                <w:lang w:val="en-US" w:eastAsia="zh-CN"/>
              </w:rPr>
              <w:t>是因为有上年度5个月的公车费用结账。4、在职人员控制率超标是因为我局政法编制数只有22个，但实际在职人数42人。</w:t>
            </w:r>
          </w:p>
        </w:tc>
      </w:tr>
      <w:tr>
        <w:tblPrEx>
          <w:tblCellMar>
            <w:top w:w="0" w:type="dxa"/>
            <w:left w:w="0" w:type="dxa"/>
            <w:bottom w:w="0" w:type="dxa"/>
            <w:right w:w="0" w:type="dxa"/>
          </w:tblCellMar>
        </w:tblPrEx>
        <w:trPr>
          <w:trHeight w:val="906" w:hRule="atLeast"/>
        </w:trPr>
        <w:tc>
          <w:tcPr>
            <w:tcW w:w="20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改进措施</w:t>
            </w:r>
          </w:p>
        </w:tc>
        <w:tc>
          <w:tcPr>
            <w:tcW w:w="3695"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2"/>
                <w:rFonts w:eastAsia="等线"/>
              </w:rPr>
              <w:t>1.</w:t>
            </w:r>
            <w:r>
              <w:rPr>
                <w:rStyle w:val="23"/>
                <w:rFonts w:ascii="Times New Roman" w:hAnsi="Times New Roman" w:cs="Times New Roman"/>
              </w:rPr>
              <w:t>对部门预算编制、预算执行与部门决算等的措施</w:t>
            </w:r>
          </w:p>
        </w:tc>
        <w:tc>
          <w:tcPr>
            <w:tcW w:w="815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textAlignment w:val="center"/>
              <w:rPr>
                <w:rFonts w:ascii="Times New Roman" w:hAnsi="Times New Roman" w:cs="Times New Roman"/>
                <w:color w:val="000000"/>
                <w:sz w:val="20"/>
                <w:szCs w:val="20"/>
              </w:rPr>
            </w:pPr>
            <w:r>
              <w:rPr>
                <w:rFonts w:hint="eastAsia" w:ascii="Times New Roman" w:hAnsi="Times New Roman" w:cs="Times New Roman"/>
                <w:color w:val="000000"/>
                <w:sz w:val="20"/>
                <w:szCs w:val="20"/>
                <w:lang w:eastAsia="zh-CN"/>
              </w:rPr>
              <w:t>1、细化预算及绩效管理工作，在预算及绩效编制过程中更加科学规范。2、预算编制工作与业务工作紧密结合，增强预算编制准确性。3、加强预算执行和绩效考核，将绩效考核工作贯穿业务工作全过程。</w:t>
            </w:r>
            <w:r>
              <w:rPr>
                <w:rFonts w:ascii="Times New Roman" w:hAnsi="Times New Roman" w:cs="Times New Roman"/>
                <w:color w:val="000000"/>
                <w:sz w:val="20"/>
                <w:szCs w:val="20"/>
                <w:lang w:eastAsia="zh-CN"/>
              </w:rPr>
              <w:t>　</w:t>
            </w:r>
          </w:p>
        </w:tc>
      </w:tr>
      <w:tr>
        <w:tblPrEx>
          <w:tblCellMar>
            <w:top w:w="0" w:type="dxa"/>
            <w:left w:w="0" w:type="dxa"/>
            <w:bottom w:w="0" w:type="dxa"/>
            <w:right w:w="0" w:type="dxa"/>
          </w:tblCellMar>
        </w:tblPrEx>
        <w:trPr>
          <w:trHeight w:val="575"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Times New Roman" w:hAnsi="Times New Roman" w:cs="Times New Roman"/>
              </w:rPr>
            </w:pPr>
          </w:p>
        </w:tc>
        <w:tc>
          <w:tcPr>
            <w:tcW w:w="3695"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2"/>
                <w:rFonts w:eastAsia="等线"/>
              </w:rPr>
              <w:t>2.</w:t>
            </w:r>
            <w:r>
              <w:rPr>
                <w:rStyle w:val="23"/>
                <w:rFonts w:ascii="Times New Roman" w:hAnsi="Times New Roman" w:cs="Times New Roman"/>
              </w:rPr>
              <w:t>对制度完善、人员管理、资产配置等的措施</w:t>
            </w:r>
          </w:p>
        </w:tc>
        <w:tc>
          <w:tcPr>
            <w:tcW w:w="815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hint="eastAsia" w:ascii="Times New Roman" w:hAnsi="Times New Roman" w:cs="Times New Roman"/>
                <w:color w:val="000000"/>
                <w:sz w:val="20"/>
                <w:szCs w:val="20"/>
                <w:lang w:val="en-US" w:eastAsia="zh-CN"/>
              </w:rPr>
              <w:t>1</w:t>
            </w:r>
            <w:r>
              <w:rPr>
                <w:rFonts w:hint="eastAsia" w:ascii="Times New Roman" w:hAnsi="Times New Roman" w:cs="Times New Roman"/>
                <w:color w:val="000000"/>
                <w:sz w:val="20"/>
                <w:szCs w:val="20"/>
                <w:lang w:eastAsia="zh-CN"/>
              </w:rPr>
              <w:t>、结合实际工作，不断完成绩效管理制度2、积极宣传预算绩效管理工作，提高绩效意识。</w:t>
            </w:r>
          </w:p>
        </w:tc>
      </w:tr>
      <w:tr>
        <w:tblPrEx>
          <w:tblCellMar>
            <w:top w:w="0" w:type="dxa"/>
            <w:left w:w="0" w:type="dxa"/>
            <w:bottom w:w="0" w:type="dxa"/>
            <w:right w:w="0" w:type="dxa"/>
          </w:tblCellMar>
        </w:tblPrEx>
        <w:trPr>
          <w:trHeight w:val="585"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Times New Roman" w:hAnsi="Times New Roman" w:cs="Times New Roman"/>
              </w:rPr>
            </w:pPr>
          </w:p>
        </w:tc>
        <w:tc>
          <w:tcPr>
            <w:tcW w:w="3695"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2"/>
                <w:rFonts w:eastAsia="等线"/>
              </w:rPr>
              <w:t>3.</w:t>
            </w:r>
            <w:r>
              <w:rPr>
                <w:rStyle w:val="23"/>
                <w:rFonts w:ascii="Times New Roman" w:hAnsi="Times New Roman" w:cs="Times New Roman"/>
              </w:rPr>
              <w:t>其他措施</w:t>
            </w:r>
          </w:p>
        </w:tc>
        <w:tc>
          <w:tcPr>
            <w:tcW w:w="815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hint="eastAsia" w:ascii="Times New Roman" w:hAnsi="Times New Roman" w:cs="Times New Roman"/>
                <w:color w:val="000000"/>
                <w:sz w:val="20"/>
                <w:szCs w:val="20"/>
                <w:lang w:eastAsia="zh-CN"/>
              </w:rPr>
            </w:pPr>
            <w:r>
              <w:rPr>
                <w:rFonts w:hint="eastAsia" w:ascii="Times New Roman" w:hAnsi="Times New Roman" w:cs="Times New Roman"/>
                <w:color w:val="000000"/>
                <w:sz w:val="20"/>
                <w:szCs w:val="20"/>
                <w:lang w:eastAsia="zh-CN"/>
              </w:rPr>
              <w:t>1、提高开源节流力度，保障机关运行；2、推进绩效管理工作深入开展</w:t>
            </w:r>
          </w:p>
          <w:p>
            <w:pPr>
              <w:jc w:val="center"/>
              <w:textAlignment w:val="center"/>
              <w:rPr>
                <w:rFonts w:ascii="Times New Roman" w:hAnsi="Times New Roman" w:cs="Times New Roman"/>
                <w:color w:val="000000"/>
                <w:sz w:val="20"/>
                <w:szCs w:val="20"/>
              </w:rPr>
            </w:pPr>
          </w:p>
        </w:tc>
      </w:tr>
    </w:tbl>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color w:val="000000" w:themeColor="text1"/>
          <w14:textFill>
            <w14:solidFill>
              <w14:schemeClr w14:val="tx1"/>
            </w14:solidFill>
          </w14:textFill>
        </w:rPr>
        <w:sectPr>
          <w:headerReference r:id="rId27" w:type="default"/>
          <w:pgSz w:w="16838" w:h="11906" w:orient="landscape"/>
          <w:pgMar w:top="1418" w:right="1701" w:bottom="1418" w:left="1281" w:header="851" w:footer="992" w:gutter="0"/>
          <w:pgNumType w:fmt="numberInDash"/>
          <w:cols w:space="0" w:num="1"/>
          <w:docGrid w:type="lines" w:linePitch="312" w:charSpace="0"/>
        </w:sect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58240;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fill on="t" focussize="0,0"/>
                <v:stroke on="f" weight="1pt" miterlimit="8" joinstyle="miter"/>
                <v:imagedata o:title=""/>
                <o:lock v:ext="edit" aspectratio="f"/>
              </v:rect>
            </w:pict>
          </mc:Fallback>
        </mc:AlternateContent>
      </w:r>
    </w:p>
    <w:sectPr>
      <w:headerReference r:id="rId28" w:type="default"/>
      <w:pgSz w:w="11906" w:h="16838"/>
      <w:pgMar w:top="1701" w:right="1418" w:bottom="1281" w:left="141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5168"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55168;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6192"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56192;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7216"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57216;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58240;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438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6438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45952"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45952;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44928"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44928;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9504"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1669504;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1670528;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fill on="f" focussize="0,0"/>
              <v:stroke on="f" weight="0.5pt"/>
              <v:imagedata o:title=""/>
              <o:lock v:ext="edit" aspectratio="f"/>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6432"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66432;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68480;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0288"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60288;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23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623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5648" behindDoc="0" locked="0" layoutInCell="1" allowOverlap="1">
              <wp:simplePos x="0" y="0"/>
              <wp:positionH relativeFrom="page">
                <wp:posOffset>28575</wp:posOffset>
              </wp:positionH>
              <wp:positionV relativeFrom="topMargin">
                <wp:posOffset>361950</wp:posOffset>
              </wp:positionV>
              <wp:extent cx="6915150" cy="447675"/>
              <wp:effectExtent l="0" t="0" r="0" b="9525"/>
              <wp:wrapNone/>
              <wp:docPr id="42" name="组合 42"/>
              <wp:cNvGraphicFramePr/>
              <a:graphic xmlns:a="http://schemas.openxmlformats.org/drawingml/2006/main">
                <a:graphicData uri="http://schemas.microsoft.com/office/word/2010/wordprocessingGroup">
                  <wpg:wgp>
                    <wpg:cNvGrpSpPr/>
                    <wpg:grpSpPr>
                      <a:xfrm>
                        <a:off x="0" y="0"/>
                        <a:ext cx="6915150" cy="447675"/>
                        <a:chOff x="881" y="505"/>
                        <a:chExt cx="11930" cy="1179"/>
                      </a:xfrm>
                    </wpg:grpSpPr>
                    <wps:wsp>
                      <wps:cNvPr id="4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28.5pt;height:35.25pt;width:544.5pt;mso-position-horizontal-relative:page;mso-position-vertical-relative:page;z-index:251675648;mso-width-relative:page;mso-height-relative:page;" coordorigin="881,505" coordsize="11930,1179" o:gfxdata="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DGHzmP2QAAAAkBAAAPAAAAAAAAAAEA&#10;IAAAACIAAABkcnMvZG93bnJldi54bWxQSwECFAAUAAAACACHTuJA1QCd+vMEAACg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4t4BeL0AAADb&#10;AAAADwAAAGRycy9kb3ducmV2LnhtbEWPzWrDMBCE74W+g9hCLqWRkqYhuJZzKA3pISE0zQMs1tYy&#10;tlbGkvPz9lEgkOMwM98w+fLsWnGkPtSeNUzGCgRx6U3NlYbD3+ptASJEZIOtZ9JwoQDL4vkpx8z4&#10;E//ScR8rkSAcMtRgY+wyKUNpyWEY+444ef++dxiT7CtpejwluGvlVKm5dFhzWrDY0ZelstkPTsMQ&#10;zMdgd6rZNNs5x7X7bspXpfXoZaI+QUQ6x0f43v4xGmbvcPuSfoAs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3gF4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6osHGL8AAADb&#10;AAAADwAAAGRycy9kb3ducmV2LnhtbEWP0WrCQBRE3wv9h+UW+mY2lqBp6iqlrdgnbTUfcMlek2j2&#10;bsiuSfz7riD0cZiZM8xiNZpG9NS52rKCaRSDIC6srrlUkB/WkxSE88gaG8uk4EoOVsvHhwVm2g78&#10;S/3elyJA2GWooPK+zaR0RUUGXWRb4uAdbWfQB9mVUnc4BLhp5Escz6TBmsNChS19VFSc9xej4H27&#10;e13/FGleNof5kH+dPufJ5qTU89M0fgPhafT/4Xv7WytIErh9CT9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LBxi/&#10;AAAA2w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L6oALwAAADb&#10;AAAADwAAAGRycy9kb3ducmV2LnhtbEWP3WoCMRSE74W+QziCd5qspbasRqlCQUpvXPsAh83pZn9y&#10;sm7iat++KRR6Ocx8M8xmd3edGGkItWcN2UKBIC69qbnS8Hl+m7+ACBHZYOeZNHxTgN32YbLB3Pgb&#10;n2gsYiVSCYccNdgY+1zKUFpyGBa+J07elx8cxiSHSpoBb6ncdXKp1Eo6rDktWOzpYKlsi6vT8DTy&#10;R3uxqsd9vGT2NWvew3Oj9WyaqTWISPf4H/6jjyZxj/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qAC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377825</wp:posOffset>
              </wp:positionV>
              <wp:extent cx="3556000" cy="406400"/>
              <wp:effectExtent l="0" t="0" r="0" b="0"/>
              <wp:wrapNone/>
              <wp:docPr id="54" name="组合 54"/>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55"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76672;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DHpuwe1wAAAAcBAAAPAAAAAAAAAAEAIAAAACIA&#10;AABkcnMvZG93bnJldi54bWxQSwECFAAUAAAACACHTuJAkxJ1xicDAAA1CAAADgAAAAAAAAABACAA&#10;AAAmAQAAZHJzL2Uyb0RvYy54bWxQSwUGAAAAAAYABgBZAQAAvwYAAAAA&#10;">
              <o:lock v:ext="edit" aspectratio="f"/>
              <v:shape id="文本框 6" o:spid="_x0000_s1026" o:spt="202" type="#_x0000_t202" style="position:absolute;left:1401;top:880;height:641;width:3087;"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VVW/abwAAADb&#10;AAAADwAAAGRycy9kb3ducmV2LnhtbEWPQWsCMRSE7wX/Q3iCl6LJSpXt1igiCl7dSs/Pzevu0s3L&#10;ksRV/70pFHocZuYbZrW5204M5EPrWEM2UyCIK2darjWcPw/THESIyAY7x6ThQQE269HLCgvjbnyi&#10;oYy1SBAOBWpoYuwLKUPVkMUwcz1x8r6dtxiT9LU0Hm8Jbjs5V2opLbacFhrsaddQ9VNebaKc37cL&#10;uc8v2dvr7iv3Q1ae1EHryThTHyAi3eN/+K99NBoWS/j9kn6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Vv2m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r>
      <w:rPr>
        <w:rFonts w:hint="eastAsia"/>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81792" behindDoc="0" locked="0" layoutInCell="1" allowOverlap="1">
              <wp:simplePos x="0" y="0"/>
              <wp:positionH relativeFrom="page">
                <wp:posOffset>27940</wp:posOffset>
              </wp:positionH>
              <wp:positionV relativeFrom="topMargin">
                <wp:posOffset>361950</wp:posOffset>
              </wp:positionV>
              <wp:extent cx="9401175" cy="447675"/>
              <wp:effectExtent l="0" t="0" r="9525" b="9525"/>
              <wp:wrapNone/>
              <wp:docPr id="63" name="组合 63"/>
              <wp:cNvGraphicFramePr/>
              <a:graphic xmlns:a="http://schemas.openxmlformats.org/drawingml/2006/main">
                <a:graphicData uri="http://schemas.microsoft.com/office/word/2010/wordprocessingGroup">
                  <wpg:wgp>
                    <wpg:cNvGrpSpPr/>
                    <wpg:grpSpPr>
                      <a:xfrm>
                        <a:off x="0" y="0"/>
                        <a:ext cx="9401175" cy="447675"/>
                        <a:chOff x="881" y="505"/>
                        <a:chExt cx="11930" cy="1179"/>
                      </a:xfrm>
                    </wpg:grpSpPr>
                    <wps:wsp>
                      <wps:cNvPr id="6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pt;margin-top:28.5pt;height:35.25pt;width:740.25pt;mso-position-horizontal-relative:page;mso-position-vertical-relative:page;z-index:251681792;mso-width-relative:page;mso-height-relative:page;" coordorigin="881,505" coordsize="11930,1179" o:gfxdata="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ONERDtoAAAAJAQAADwAAAAAAAAAB&#10;ACAAAAAiAAAAZHJzL2Rvd25yZXYueG1sUEsBAhQAFAAAAAgAh07iQH8GXnz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JoLFbL0AAADb&#10;AAAADwAAAGRycy9kb3ducmV2LnhtbEWPQWvCQBSE70L/w/IKvYjuWjSU6CaH0tIeFFH7Ax7Z12xI&#10;9m3IbtT++64geBxm5htmU15dJ840hMazhsVcgSCuvGm41vBz+py9gQgR2WDnmTT8UYCyeJpsMDf+&#10;wgc6H2MtEoRDjhpsjH0uZagsOQxz3xMn79cPDmOSQy3NgJcEd518VSqTDhtOCxZ7erdUtcfRaRiD&#10;WY12r9ptu8s4frmPtpoqrV+eF2oNItI1PsL39rfRkC3h9iX9AF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gsV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znL+470AAADb&#10;AAAADwAAAGRycy9kb3ducmV2LnhtbEWP3YrCMBSE74V9h3AWvNNUWf+qUcRV3Kv1rw9waI5ttTkp&#10;TbT69kZY2MthZr5hZouHKcWdaldYVtDrRiCIU6sLzhQkp01nDMJ5ZI2lZVLwJAeL+UdrhrG2DR/o&#10;fvSZCBB2MSrIva9iKV2ak0HXtRVx8M62NuiDrDOpa2wC3JSyH0VDabDgsJBjRauc0uvxZhQsf3eT&#10;zT4dJ1l5GjXJ+vI9+tpelGp/9qIpCE8P/x/+a/9oBcMBvL+EHyD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cv7jvQAA&#10;ANs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EqXBJbwAAADb&#10;AAAADwAAAGRycy9kb3ducmV2LnhtbEWPzWrDMBCE74W8g9hCbo3kQtzgRg5NIRBKL/l5gMXaWo6t&#10;lWMpTvL2VSHQ4zAz3zDL1c11YqQhNJ41ZDMFgrjypuFaw/GweVmACBHZYOeZNNwpwKqcPC2xMP7K&#10;Oxr3sRYJwqFADTbGvpAyVJYchpnviZP34weHMcmhlmbAa4K7Tr4qlUuHDacFiz19Wqra/cVpmI/8&#10;3Z6t6nEdz5n9yE5f4e2k9fQ5U+8gIt3if/jR3hoNeQ5/X9IP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lwSW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2816" behindDoc="0" locked="0" layoutInCell="1" allowOverlap="1">
              <wp:simplePos x="0" y="0"/>
              <wp:positionH relativeFrom="page">
                <wp:posOffset>0</wp:posOffset>
              </wp:positionH>
              <wp:positionV relativeFrom="page">
                <wp:posOffset>377825</wp:posOffset>
              </wp:positionV>
              <wp:extent cx="3556000" cy="406400"/>
              <wp:effectExtent l="0" t="0" r="0" b="0"/>
              <wp:wrapNone/>
              <wp:docPr id="67" name="组合 67"/>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2816;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Mem7B7XAAAABwEAAA8AAAAAAAAAAQAgAAAAIgAAAGRycy9k&#10;b3ducmV2LnhtbFBLAQIUABQAAAAIAIdO4kDr8C28IAMAADUIAAAOAAAAAAAAAAEAIAAAACYBAABk&#10;cnMvZTJvRG9jLnhtbFBLBQYAAAAABgAGAFkBAAC4BgAAAAA=&#10;">
              <o:lock v:ext="edit" aspectratio="f"/>
              <v:shape id="文本框 6" o:spid="_x0000_s1026" o:spt="202" type="#_x0000_t202" style="position:absolute;left:1401;top:880;height:641;width:3087;"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6qbhprwAAADb&#10;AAAADwAAAGRycy9kb3ducmV2LnhtbEWPQWsCMRSE7wX/Q3iCl6LJSivrahSRCr26lZ6fm+fu4uZl&#10;SdJV/70pFHocZuYbZr29204M5EPrWEM2UyCIK2darjWcvg7THESIyAY7x6ThQQG2m9HLGgvjbnyk&#10;oYy1SBAOBWpoYuwLKUPVkMUwcz1x8i7OW4xJ+loaj7cEt52cK7WQFltOCw32tG+oupY/NlFOy927&#10;/MjP2dvr/jv3Q1Ye1UHryThTKxCR7vE//Nf+NBoWS/j9kn6A3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m4a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8720"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1" name="组合 41"/>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7"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8"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5.25pt;width:594.8pt;mso-position-horizontal-relative:page;mso-position-vertical-relative:page;z-index:251678720;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T8rNfaAAAACQEAAA8AAAAAAAAA&#10;AQAgAAAAIgAAAGRycy9kb3ducmV2LnhtbFBLAQIUABQAAAAIAIdO4kCjDI70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DyRprsAAADb&#10;AAAADwAAAGRycy9kb3ducmV2LnhtbEWPQYvCMBSE78L+h/AW9iKaKKhLNXpYFD0oou4PeDRvm9Lm&#10;pTSpuv/eCILHYWa+YRaru6vFldpQetYwGioQxLk3JRcafi+bwTeIEJEN1p5Jwz8FWC0/egvMjL/x&#10;ia7nWIgE4ZChBhtjk0kZcksOw9A3xMn7863DmGRbSNPiLcFdLcdKTaXDktOCxYZ+LOXVuXMaumAm&#10;nT2qal8dphy3bl3lfaX11+dIzUFEusd3+NXeGQ2TGTy/p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yRp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7h+bwLoAAADb&#10;AAAADwAAAGRycy9kb3ducmV2LnhtbEVPy4rCMBTdD/gP4QruNFWcUatRxAfOymc/4NJc22pzU5po&#10;nb83C2GWh/OeLV6mFE+qXWFZQb8XgSBOrS44U5Bctt0xCOeRNZaWScEfOVjMW18zjLVt+ETPs89E&#10;CGEXo4Lc+yqW0qU5GXQ9WxEH7mprgz7AOpO6xiaEm1IOouhHGiw4NORY0Sqn9H5+GAXL/WGyPabj&#10;JCsvoybZ3Naj4e6mVKfdj6YgPL38v/jj/tUKvsPY8CX8AD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H5vAugAAANsA&#10;AAAPAAAAAAAAAAEAIAAAACIAAABkcnMvZG93bnJldi54bWxQSwECFAAUAAAACACHTuJAMy8FnjsA&#10;AAA5AAAAEAAAAAAAAAABACAAAAAJAQAAZHJzL3NoYXBleG1sLnhtbFBLBQYAAAAABgAGAFsBAACz&#10;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Vaf6rwAAADb&#10;AAAADwAAAGRycy9kb3ducmV2LnhtbEWP3WoCMRSE74W+QziCd5qs0NquRqlCQUpvXPsAh83pZn9y&#10;sm7iat++KRR6Ocx8M8xmd3edGGkItWcN2UKBIC69qbnS8Hl+mz+DCBHZYOeZNHxTgN32YbLB3Pgb&#10;n2gsYiVSCYccNdgY+1zKUFpyGBa+J07elx8cxiSHSpoBb6ncdXKp1JN0WHNasNjTwVLZFlen4XHk&#10;j/ZiVY/7eMnsa9a8h1Wj9WyaqTWISPf4H/6jjyZxL/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Wn+q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9744" behindDoc="0" locked="0" layoutInCell="1" allowOverlap="1">
              <wp:simplePos x="0" y="0"/>
              <wp:positionH relativeFrom="page">
                <wp:posOffset>0</wp:posOffset>
              </wp:positionH>
              <wp:positionV relativeFrom="page">
                <wp:posOffset>377825</wp:posOffset>
              </wp:positionV>
              <wp:extent cx="3556000" cy="406400"/>
              <wp:effectExtent l="0" t="0" r="0" b="0"/>
              <wp:wrapNone/>
              <wp:docPr id="60" name="组合 60"/>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79744;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DHpuwe1wAAAAcBAAAPAAAAAAAAAAEAIAAAACIA&#10;AABkcnMvZG93bnJldi54bWxQSwECFAAUAAAACACHTuJAyOtOyCcDAAA1CAAADgAAAAAAAAABACAA&#10;AAAmAQAAZHJzL2Uyb0RvYy54bWxQSwUGAAAAAAYABgBZAQAAvwYAAAAA&#10;">
              <o:lock v:ext="edit" aspectratio="f"/>
              <v:shape id="文本框 6" o:spid="_x0000_s1026" o:spt="202" type="#_x0000_t202" style="position:absolute;left:1401;top:880;height:641;width:3087;" filled="f" stroked="f" coordsize="21600,21600" o:gfxdata="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un2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txbxContent>
                </v:textbox>
              </v:shape>
              <v:rect id="矩形 7" o:spid="_x0000_s1026" o:spt="1" style="position:absolute;left:1337;top:1044;height:330;width:119;v-text-anchor:middle;" fillcolor="#000000 [3213]" filled="t" stroked="f" coordsize="21600,21600" o:gfxdata="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Cc9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53120"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653120;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54144"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54144;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48000"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48000;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46976"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46976;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49024"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49024;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50048"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50048;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52096"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2096;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1072"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1072;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D994C"/>
    <w:multiLevelType w:val="singleLevel"/>
    <w:tmpl w:val="3B3D994C"/>
    <w:lvl w:ilvl="0" w:tentative="0">
      <w:start w:val="2"/>
      <w:numFmt w:val="decimal"/>
      <w:lvlText w:val="%1."/>
      <w:lvlJc w:val="left"/>
      <w:pPr>
        <w:tabs>
          <w:tab w:val="left" w:pos="312"/>
        </w:tabs>
      </w:p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F222FFA"/>
    <w:multiLevelType w:val="singleLevel"/>
    <w:tmpl w:val="5F222FF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HorizontalSpacing w:val="105"/>
  <w:drawingGridVerticalSpacing w:val="16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2588F"/>
    <w:rsid w:val="0007063E"/>
    <w:rsid w:val="00073392"/>
    <w:rsid w:val="00073F4E"/>
    <w:rsid w:val="00086C89"/>
    <w:rsid w:val="000A39FB"/>
    <w:rsid w:val="000A5468"/>
    <w:rsid w:val="00110AF6"/>
    <w:rsid w:val="00117746"/>
    <w:rsid w:val="00163F95"/>
    <w:rsid w:val="00177BEB"/>
    <w:rsid w:val="00180A9A"/>
    <w:rsid w:val="001829C0"/>
    <w:rsid w:val="00184809"/>
    <w:rsid w:val="001878E9"/>
    <w:rsid w:val="00192112"/>
    <w:rsid w:val="001B0127"/>
    <w:rsid w:val="001C12D5"/>
    <w:rsid w:val="001C69F7"/>
    <w:rsid w:val="001D6F97"/>
    <w:rsid w:val="002650EC"/>
    <w:rsid w:val="002A6C46"/>
    <w:rsid w:val="002C19B5"/>
    <w:rsid w:val="002E6711"/>
    <w:rsid w:val="00332F9E"/>
    <w:rsid w:val="00335973"/>
    <w:rsid w:val="0033784A"/>
    <w:rsid w:val="00365EE5"/>
    <w:rsid w:val="003A4EE8"/>
    <w:rsid w:val="003D72B8"/>
    <w:rsid w:val="003E1B81"/>
    <w:rsid w:val="00442CC2"/>
    <w:rsid w:val="00446244"/>
    <w:rsid w:val="00473C20"/>
    <w:rsid w:val="004D61CB"/>
    <w:rsid w:val="005011D6"/>
    <w:rsid w:val="00503F2E"/>
    <w:rsid w:val="00510532"/>
    <w:rsid w:val="00552226"/>
    <w:rsid w:val="00566120"/>
    <w:rsid w:val="005758DB"/>
    <w:rsid w:val="00582E6D"/>
    <w:rsid w:val="005954D5"/>
    <w:rsid w:val="005A53FA"/>
    <w:rsid w:val="005D1293"/>
    <w:rsid w:val="00630D2B"/>
    <w:rsid w:val="006317C3"/>
    <w:rsid w:val="00644D5F"/>
    <w:rsid w:val="00657F86"/>
    <w:rsid w:val="006727AD"/>
    <w:rsid w:val="00691425"/>
    <w:rsid w:val="006A516E"/>
    <w:rsid w:val="006B0830"/>
    <w:rsid w:val="006D4319"/>
    <w:rsid w:val="00714F74"/>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07D9C"/>
    <w:rsid w:val="00921602"/>
    <w:rsid w:val="00957EA1"/>
    <w:rsid w:val="00966E5B"/>
    <w:rsid w:val="009B4EF0"/>
    <w:rsid w:val="009D271F"/>
    <w:rsid w:val="00A929C2"/>
    <w:rsid w:val="00AA283B"/>
    <w:rsid w:val="00AA7981"/>
    <w:rsid w:val="00AD097F"/>
    <w:rsid w:val="00AD25D1"/>
    <w:rsid w:val="00B47723"/>
    <w:rsid w:val="00B47E7A"/>
    <w:rsid w:val="00B518BA"/>
    <w:rsid w:val="00B62993"/>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872FB"/>
    <w:rsid w:val="00EA05EC"/>
    <w:rsid w:val="00EC06F4"/>
    <w:rsid w:val="00ED141E"/>
    <w:rsid w:val="00EE4E36"/>
    <w:rsid w:val="00F665F4"/>
    <w:rsid w:val="00FD225F"/>
    <w:rsid w:val="00FE1CE0"/>
    <w:rsid w:val="0340669B"/>
    <w:rsid w:val="0610777A"/>
    <w:rsid w:val="07DC3639"/>
    <w:rsid w:val="097008D2"/>
    <w:rsid w:val="0B011416"/>
    <w:rsid w:val="148D27D8"/>
    <w:rsid w:val="160E0749"/>
    <w:rsid w:val="1B197406"/>
    <w:rsid w:val="249A4101"/>
    <w:rsid w:val="2C283859"/>
    <w:rsid w:val="2CA5314D"/>
    <w:rsid w:val="2F0D570A"/>
    <w:rsid w:val="31C2036A"/>
    <w:rsid w:val="320D02A5"/>
    <w:rsid w:val="32B14938"/>
    <w:rsid w:val="348E566F"/>
    <w:rsid w:val="36DF359C"/>
    <w:rsid w:val="37851FB6"/>
    <w:rsid w:val="38192DA0"/>
    <w:rsid w:val="384F2EA6"/>
    <w:rsid w:val="389F2F8C"/>
    <w:rsid w:val="3A226944"/>
    <w:rsid w:val="3ACF6F1B"/>
    <w:rsid w:val="3AEE6A48"/>
    <w:rsid w:val="3B93213C"/>
    <w:rsid w:val="3C1620AA"/>
    <w:rsid w:val="3D8F080F"/>
    <w:rsid w:val="42D5272B"/>
    <w:rsid w:val="44CE1FA4"/>
    <w:rsid w:val="45392B96"/>
    <w:rsid w:val="45CA5462"/>
    <w:rsid w:val="487F73ED"/>
    <w:rsid w:val="49B1310E"/>
    <w:rsid w:val="49BB0056"/>
    <w:rsid w:val="4A347EAE"/>
    <w:rsid w:val="4B966906"/>
    <w:rsid w:val="4CC81938"/>
    <w:rsid w:val="4EF256F2"/>
    <w:rsid w:val="4F2366B1"/>
    <w:rsid w:val="50B5661A"/>
    <w:rsid w:val="51C67A3A"/>
    <w:rsid w:val="523C4931"/>
    <w:rsid w:val="52600405"/>
    <w:rsid w:val="529B4319"/>
    <w:rsid w:val="53E55924"/>
    <w:rsid w:val="555E4A7B"/>
    <w:rsid w:val="57773DD6"/>
    <w:rsid w:val="578B79AB"/>
    <w:rsid w:val="586A1CEB"/>
    <w:rsid w:val="58A1175B"/>
    <w:rsid w:val="5C732B7F"/>
    <w:rsid w:val="5CCD3FD5"/>
    <w:rsid w:val="61626734"/>
    <w:rsid w:val="61CE27F2"/>
    <w:rsid w:val="61FA5F9D"/>
    <w:rsid w:val="63470D78"/>
    <w:rsid w:val="64CD6910"/>
    <w:rsid w:val="67644D17"/>
    <w:rsid w:val="6789158D"/>
    <w:rsid w:val="67D81BA4"/>
    <w:rsid w:val="69601D1F"/>
    <w:rsid w:val="6AAF1C96"/>
    <w:rsid w:val="6C5619E2"/>
    <w:rsid w:val="70CC4BDF"/>
    <w:rsid w:val="72D61A55"/>
    <w:rsid w:val="731F7905"/>
    <w:rsid w:val="75681757"/>
    <w:rsid w:val="75A346A8"/>
    <w:rsid w:val="79B9382C"/>
    <w:rsid w:val="7B043B76"/>
    <w:rsid w:val="7B3C413C"/>
    <w:rsid w:val="7C041A6A"/>
    <w:rsid w:val="7D4E4439"/>
    <w:rsid w:val="7E327570"/>
    <w:rsid w:val="7FCE4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眉 字符"/>
    <w:basedOn w:val="9"/>
    <w:link w:val="6"/>
    <w:qFormat/>
    <w:uiPriority w:val="99"/>
    <w:rPr>
      <w:rFonts w:asciiTheme="minorHAnsi" w:hAnsiTheme="minorHAnsi" w:eastAsiaTheme="minorEastAsia"/>
      <w:sz w:val="18"/>
      <w:szCs w:val="18"/>
    </w:rPr>
  </w:style>
  <w:style w:type="character" w:customStyle="1" w:styleId="11">
    <w:name w:val="页脚 字符"/>
    <w:basedOn w:val="9"/>
    <w:link w:val="5"/>
    <w:qFormat/>
    <w:uiPriority w:val="99"/>
    <w:rPr>
      <w:sz w:val="18"/>
      <w:szCs w:val="18"/>
    </w:rPr>
  </w:style>
  <w:style w:type="paragraph" w:customStyle="1" w:styleId="12">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3">
    <w:name w:val="批注框文本 字符"/>
    <w:basedOn w:val="9"/>
    <w:link w:val="4"/>
    <w:semiHidden/>
    <w:qFormat/>
    <w:uiPriority w:val="99"/>
    <w:rPr>
      <w:rFonts w:asciiTheme="minorHAnsi" w:hAnsiTheme="minorHAnsi" w:eastAsiaTheme="minorEastAsia" w:cstheme="minorBidi"/>
      <w:kern w:val="2"/>
      <w:sz w:val="18"/>
      <w:szCs w:val="18"/>
    </w:rPr>
  </w:style>
  <w:style w:type="character" w:customStyle="1" w:styleId="14">
    <w:name w:val="font11"/>
    <w:qFormat/>
    <w:uiPriority w:val="0"/>
    <w:rPr>
      <w:rFonts w:ascii="仿宋_GB2312" w:eastAsia="仿宋_GB2312" w:cs="仿宋_GB2312"/>
      <w:color w:val="000000"/>
      <w:sz w:val="18"/>
      <w:szCs w:val="18"/>
      <w:u w:val="none"/>
      <w:lang w:bidi="ar-SA"/>
    </w:rPr>
  </w:style>
  <w:style w:type="character" w:customStyle="1" w:styleId="15">
    <w:name w:val="font112"/>
    <w:qFormat/>
    <w:uiPriority w:val="0"/>
    <w:rPr>
      <w:rFonts w:ascii="宋体" w:eastAsia="宋体" w:cs="宋体"/>
      <w:color w:val="000000"/>
      <w:sz w:val="18"/>
      <w:szCs w:val="18"/>
      <w:u w:val="none"/>
      <w:lang w:bidi="ar-SA"/>
    </w:rPr>
  </w:style>
  <w:style w:type="character" w:customStyle="1" w:styleId="16">
    <w:name w:val="font141"/>
    <w:qFormat/>
    <w:uiPriority w:val="0"/>
    <w:rPr>
      <w:rFonts w:ascii="Times New Roman" w:hAnsi="Times New Roman" w:cs="Times New Roman"/>
      <w:color w:val="000000"/>
      <w:sz w:val="18"/>
      <w:szCs w:val="18"/>
      <w:u w:val="none"/>
      <w:lang w:bidi="ar-SA"/>
    </w:rPr>
  </w:style>
  <w:style w:type="paragraph" w:styleId="17">
    <w:name w:val="List Paragraph"/>
    <w:basedOn w:val="1"/>
    <w:uiPriority w:val="99"/>
    <w:pPr>
      <w:ind w:firstLine="420" w:firstLineChars="200"/>
    </w:pPr>
  </w:style>
  <w:style w:type="character" w:customStyle="1" w:styleId="18">
    <w:name w:val="font171"/>
    <w:basedOn w:val="9"/>
    <w:qFormat/>
    <w:uiPriority w:val="0"/>
    <w:rPr>
      <w:rFonts w:ascii="仿宋_GB2312" w:eastAsia="仿宋_GB2312" w:cs="仿宋_GB2312"/>
      <w:color w:val="000000"/>
      <w:sz w:val="18"/>
      <w:szCs w:val="18"/>
      <w:u w:val="none"/>
    </w:rPr>
  </w:style>
  <w:style w:type="character" w:customStyle="1" w:styleId="19">
    <w:name w:val="font51"/>
    <w:basedOn w:val="9"/>
    <w:qFormat/>
    <w:uiPriority w:val="0"/>
    <w:rPr>
      <w:rFonts w:ascii="Times New Roman" w:hAnsi="Times New Roman" w:cs="Times New Roman"/>
      <w:color w:val="000000"/>
      <w:sz w:val="18"/>
      <w:szCs w:val="18"/>
      <w:u w:val="none"/>
    </w:rPr>
  </w:style>
  <w:style w:type="character" w:customStyle="1" w:styleId="20">
    <w:name w:val="font161"/>
    <w:basedOn w:val="9"/>
    <w:qFormat/>
    <w:uiPriority w:val="0"/>
    <w:rPr>
      <w:rFonts w:ascii="宋体" w:eastAsia="宋体" w:cs="宋体"/>
      <w:color w:val="000000"/>
      <w:sz w:val="18"/>
      <w:szCs w:val="18"/>
      <w:u w:val="none"/>
    </w:rPr>
  </w:style>
  <w:style w:type="character" w:customStyle="1" w:styleId="21">
    <w:name w:val="font81"/>
    <w:basedOn w:val="9"/>
    <w:qFormat/>
    <w:uiPriority w:val="0"/>
    <w:rPr>
      <w:rFonts w:ascii="Times New Roman" w:hAnsi="Times New Roman" w:cs="Times New Roman"/>
      <w:color w:val="000000"/>
      <w:sz w:val="21"/>
      <w:szCs w:val="21"/>
      <w:u w:val="none"/>
    </w:rPr>
  </w:style>
  <w:style w:type="character" w:customStyle="1" w:styleId="22">
    <w:name w:val="font121"/>
    <w:basedOn w:val="9"/>
    <w:qFormat/>
    <w:uiPriority w:val="0"/>
    <w:rPr>
      <w:rFonts w:ascii="Times New Roman" w:hAnsi="Times New Roman" w:cs="Times New Roman"/>
      <w:color w:val="000000"/>
      <w:sz w:val="20"/>
      <w:szCs w:val="20"/>
      <w:u w:val="none"/>
    </w:rPr>
  </w:style>
  <w:style w:type="character" w:customStyle="1" w:styleId="23">
    <w:name w:val="font131"/>
    <w:basedOn w:val="9"/>
    <w:qFormat/>
    <w:uiPriority w:val="0"/>
    <w:rPr>
      <w:rFonts w:asci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0" Type="http://schemas.openxmlformats.org/officeDocument/2006/relationships/fontTable" Target="fontTable.xml"/><Relationship Id="rId4" Type="http://schemas.openxmlformats.org/officeDocument/2006/relationships/header" Target="header2.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6.emf"/><Relationship Id="rId35" Type="http://schemas.openxmlformats.org/officeDocument/2006/relationships/oleObject" Target="embeddings/oleObject2.bin"/><Relationship Id="rId34" Type="http://schemas.openxmlformats.org/officeDocument/2006/relationships/image" Target="media/image5.png"/><Relationship Id="rId33" Type="http://schemas.openxmlformats.org/officeDocument/2006/relationships/image" Target="media/image4.png"/><Relationship Id="rId32" Type="http://schemas.openxmlformats.org/officeDocument/2006/relationships/image" Target="media/image3.emf"/><Relationship Id="rId31" Type="http://schemas.openxmlformats.org/officeDocument/2006/relationships/oleObject" Target="embeddings/oleObject1.bin"/><Relationship Id="rId30" Type="http://schemas.openxmlformats.org/officeDocument/2006/relationships/image" Target="media/image2.bmp"/><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header" Target="header18.xml"/><Relationship Id="rId27" Type="http://schemas.openxmlformats.org/officeDocument/2006/relationships/header" Target="header17.xml"/><Relationship Id="rId26" Type="http://schemas.openxmlformats.org/officeDocument/2006/relationships/header" Target="header16.xml"/><Relationship Id="rId25" Type="http://schemas.openxmlformats.org/officeDocument/2006/relationships/header" Target="header15.xml"/><Relationship Id="rId24" Type="http://schemas.openxmlformats.org/officeDocument/2006/relationships/footer" Target="footer8.xml"/><Relationship Id="rId23" Type="http://schemas.openxmlformats.org/officeDocument/2006/relationships/header" Target="header14.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5284D-DB9A-48EA-8D98-FD5FDE908001}">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39</Pages>
  <Words>1962</Words>
  <Characters>11185</Characters>
  <Lines>93</Lines>
  <Paragraphs>26</Paragraphs>
  <TotalTime>1</TotalTime>
  <ScaleCrop>false</ScaleCrop>
  <LinksUpToDate>false</LinksUpToDate>
  <CharactersWithSpaces>13121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bgs</cp:lastModifiedBy>
  <cp:lastPrinted>2020-07-30T02:37:00Z</cp:lastPrinted>
  <dcterms:modified xsi:type="dcterms:W3CDTF">2021-05-26T06:40:21Z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